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945619">
      <w:r>
        <w:fldChar w:fldCharType="begin"/>
      </w:r>
      <w:r>
        <w:instrText xml:space="preserve"> HYPERLINK "</w:instrText>
      </w:r>
      <w:r w:rsidRPr="00945619">
        <w:instrText>http://dejure.org/gesetze/HGB/251.html</w:instrText>
      </w:r>
      <w:r>
        <w:instrText xml:space="preserve">" </w:instrText>
      </w:r>
      <w:r>
        <w:fldChar w:fldCharType="separate"/>
      </w:r>
      <w:r w:rsidRPr="005D0523">
        <w:rPr>
          <w:rStyle w:val="Hyperlink"/>
        </w:rPr>
        <w:t>http://dejure.org/gesetze/HGB/251.html</w:t>
      </w:r>
      <w:r>
        <w:fldChar w:fldCharType="end"/>
      </w:r>
    </w:p>
    <w:p w:rsidR="00945619" w:rsidRDefault="00945619">
      <w:r w:rsidRPr="00945619">
        <w:t xml:space="preserve">S 5 </w:t>
      </w:r>
      <w:r w:rsidRPr="00945619">
        <w:tab/>
        <w:t xml:space="preserve">§ 251 </w:t>
      </w:r>
      <w:proofErr w:type="spellStart"/>
      <w:r w:rsidRPr="00945619">
        <w:t>i.V.m</w:t>
      </w:r>
      <w:proofErr w:type="spellEnd"/>
      <w:r w:rsidRPr="00945619">
        <w:t>. § 268 Abs. 7 HGB</w:t>
      </w:r>
    </w:p>
    <w:p w:rsidR="00945619" w:rsidRPr="00945619" w:rsidRDefault="00945619" w:rsidP="00945619">
      <w:pPr>
        <w:spacing w:before="100" w:beforeAutospacing="1" w:after="100" w:afterAutospacing="1" w:line="240" w:lineRule="auto"/>
        <w:outlineLvl w:val="2"/>
        <w:rPr>
          <w:rFonts w:ascii="Times New Roman" w:eastAsia="Times New Roman" w:hAnsi="Times New Roman" w:cs="Times New Roman"/>
          <w:b/>
          <w:bCs/>
          <w:sz w:val="27"/>
          <w:szCs w:val="27"/>
          <w:highlight w:val="yellow"/>
          <w:lang w:eastAsia="de-DE"/>
        </w:rPr>
      </w:pPr>
      <w:r w:rsidRPr="00945619">
        <w:rPr>
          <w:rFonts w:ascii="Times New Roman" w:eastAsia="Times New Roman" w:hAnsi="Times New Roman" w:cs="Times New Roman"/>
          <w:b/>
          <w:bCs/>
          <w:sz w:val="27"/>
          <w:szCs w:val="27"/>
          <w:highlight w:val="yellow"/>
          <w:lang w:eastAsia="de-DE"/>
        </w:rPr>
        <w:t>§ 251</w:t>
      </w:r>
      <w:r w:rsidRPr="00945619">
        <w:rPr>
          <w:rFonts w:ascii="Times New Roman" w:eastAsia="Times New Roman" w:hAnsi="Times New Roman" w:cs="Times New Roman"/>
          <w:b/>
          <w:bCs/>
          <w:sz w:val="27"/>
          <w:szCs w:val="27"/>
          <w:highlight w:val="yellow"/>
          <w:lang w:eastAsia="de-DE"/>
        </w:rPr>
        <w:br/>
        <w:t>Haftungsverhältnisse</w:t>
      </w:r>
    </w:p>
    <w:p w:rsidR="00945619" w:rsidRPr="00945619" w:rsidRDefault="00945619" w:rsidP="00945619">
      <w:pPr>
        <w:spacing w:before="100" w:beforeAutospacing="1" w:after="100" w:afterAutospacing="1" w:line="240" w:lineRule="auto"/>
        <w:rPr>
          <w:rFonts w:ascii="Times New Roman" w:eastAsia="Times New Roman" w:hAnsi="Times New Roman" w:cs="Times New Roman"/>
          <w:sz w:val="24"/>
          <w:szCs w:val="24"/>
          <w:lang w:eastAsia="de-DE"/>
        </w:rPr>
      </w:pPr>
      <w:r w:rsidRPr="00945619">
        <w:rPr>
          <w:rFonts w:ascii="Times New Roman" w:eastAsia="Times New Roman" w:hAnsi="Times New Roman" w:cs="Times New Roman"/>
          <w:sz w:val="24"/>
          <w:szCs w:val="24"/>
          <w:highlight w:val="yellow"/>
          <w:lang w:eastAsia="de-DE"/>
        </w:rPr>
        <w:t xml:space="preserve">Unter der Bilanz sind, sofern sie nicht auf der Passivseite auszuweisen sind, Verbindlichkeiten aus der Begebung und Übertragung von Wechseln, aus Bürgschaften, Wechsel- und Scheckbürgschaften und aus Gewährleistungsverträgen sowie Haftungsverhältnisse aus der Bestellung von Sicherheiten für fremde Verbindlichkeiten zu vermerken; sie dürfen in einem Betrag angegeben werden. Haftungsverhältnisse sind auch anzugeben, wenn ihnen gleichwertige </w:t>
      </w:r>
      <w:proofErr w:type="spellStart"/>
      <w:r w:rsidRPr="00945619">
        <w:rPr>
          <w:rFonts w:ascii="Times New Roman" w:eastAsia="Times New Roman" w:hAnsi="Times New Roman" w:cs="Times New Roman"/>
          <w:sz w:val="24"/>
          <w:szCs w:val="24"/>
          <w:highlight w:val="yellow"/>
          <w:lang w:eastAsia="de-DE"/>
        </w:rPr>
        <w:t>Rückgriffsforderungen</w:t>
      </w:r>
      <w:proofErr w:type="spellEnd"/>
      <w:r w:rsidRPr="00945619">
        <w:rPr>
          <w:rFonts w:ascii="Times New Roman" w:eastAsia="Times New Roman" w:hAnsi="Times New Roman" w:cs="Times New Roman"/>
          <w:sz w:val="24"/>
          <w:szCs w:val="24"/>
          <w:highlight w:val="yellow"/>
          <w:lang w:eastAsia="de-DE"/>
        </w:rPr>
        <w:t xml:space="preserve"> gegenüberstehen.</w:t>
      </w:r>
    </w:p>
    <w:p w:rsidR="00945619" w:rsidRDefault="00945619">
      <w:r>
        <w:t>_</w:t>
      </w:r>
    </w:p>
    <w:p w:rsidR="00945619" w:rsidRDefault="00945619" w:rsidP="00945619">
      <w:pPr>
        <w:pStyle w:val="berschrift3"/>
      </w:pPr>
      <w:r w:rsidRPr="00945619">
        <w:rPr>
          <w:highlight w:val="yellow"/>
        </w:rPr>
        <w:t>§ 268</w:t>
      </w:r>
      <w:r>
        <w:br/>
        <w:t>Vorschriften zu einzelnen Posten der Bilanz. Bilanzvermerke</w:t>
      </w:r>
    </w:p>
    <w:p w:rsidR="00945619" w:rsidRDefault="00945619" w:rsidP="00945619">
      <w:pPr>
        <w:pStyle w:val="StandardWeb"/>
      </w:pPr>
      <w:r>
        <w:t>(1) Die Bilanz darf auch unter Berücksichtigung der vollständigen oder teilweisen Verwendung des Jahresergebnisses aufgestellt werden. Wird die Bilanz unter Berücksichtigung der teilweisen Verwendung des Jahresergebnisses aufgestellt, so tritt an die Stelle der Posten "</w:t>
      </w:r>
      <w:proofErr w:type="spellStart"/>
      <w:r>
        <w:t>Jahresüberschuß</w:t>
      </w:r>
      <w:proofErr w:type="spellEnd"/>
      <w:r>
        <w:t>/Jahresfehlbetrag" und "Gewinnvortrag/Verlustvortrag" der Posten "Bilanzgewinn/Bilanzverlust"; ein vorhandener Gewinn- oder Verlustvortrag ist in den Posten "Bilanzgewinn/Bilanzverlust" einzubeziehen und in der Bilanz gesondert anzugeben. Die Angabe kann auch im Anhang gemacht werden.</w:t>
      </w:r>
    </w:p>
    <w:p w:rsidR="00945619" w:rsidRDefault="00945619" w:rsidP="00945619">
      <w:pPr>
        <w:pStyle w:val="StandardWeb"/>
      </w:pPr>
      <w:r>
        <w:t xml:space="preserve">(2) </w:t>
      </w:r>
      <w:r>
        <w:rPr>
          <w:i/>
          <w:iCs/>
        </w:rPr>
        <w:t>(weggefallen)</w:t>
      </w:r>
    </w:p>
    <w:p w:rsidR="00945619" w:rsidRDefault="00945619" w:rsidP="00945619">
      <w:pPr>
        <w:pStyle w:val="StandardWeb"/>
      </w:pPr>
      <w:r>
        <w:t xml:space="preserve">(3) Ist das Eigenkapital durch Verluste aufgebraucht und ergibt sich ein </w:t>
      </w:r>
      <w:proofErr w:type="spellStart"/>
      <w:r>
        <w:t>Überschuß</w:t>
      </w:r>
      <w:proofErr w:type="spellEnd"/>
      <w:r>
        <w:t xml:space="preserve"> der Passivposten über die Aktivposten, so ist dieser Betrag am </w:t>
      </w:r>
      <w:proofErr w:type="spellStart"/>
      <w:r>
        <w:t>Schluß</w:t>
      </w:r>
      <w:proofErr w:type="spellEnd"/>
      <w:r>
        <w:t xml:space="preserve"> der Bilanz auf der Aktivseite gesondert unter der Bezeichnung "Nicht durch Eigenkapital gedeckter Fehlbetrag" auszuweisen.</w:t>
      </w:r>
    </w:p>
    <w:p w:rsidR="00945619" w:rsidRDefault="00945619" w:rsidP="00945619">
      <w:pPr>
        <w:pStyle w:val="StandardWeb"/>
      </w:pPr>
      <w:r>
        <w:t xml:space="preserve">(4) Der Betrag der Forderungen mit einer Restlaufzeit von mehr als einem Jahr ist bei jedem gesondert ausgewiesenen Posten zu vermerken. Werden unter dem Posten "sonstige Vermögensgegenstände" Beträge für Vermögensgegenstände ausgewiesen, die erst nach dem </w:t>
      </w:r>
      <w:proofErr w:type="spellStart"/>
      <w:r>
        <w:t>Abschlußstichtag</w:t>
      </w:r>
      <w:proofErr w:type="spellEnd"/>
      <w:r>
        <w:t xml:space="preserve"> rechtlich entstehen, so müssen Beträge, die einen größeren Umfang haben, im Anhang erläutert werden.</w:t>
      </w:r>
    </w:p>
    <w:p w:rsidR="00945619" w:rsidRDefault="00945619" w:rsidP="00945619">
      <w:pPr>
        <w:pStyle w:val="StandardWeb"/>
      </w:pPr>
      <w:r>
        <w:t xml:space="preserve">(5) Der Betrag der Verbindlichkeiten mit einer Restlaufzeit bis zu einem Jahr und der Betrag der Verbindlichkeiten mit einer Restlaufzeit von mehr als einem Jahr sind bei jedem gesondert ausgewiesenen Posten zu vermerken. Erhaltene Anzahlungen auf Bestellungen sind, soweit Anzahlungen auf Vorräte nicht von dem Posten "Vorräte" offen abgesetzt werden, unter den Verbindlichkeiten gesondert auszuweisen. Sind unter dem Posten "Verbindlichkeiten" Beträge für Verbindlichkeiten ausgewiesen, die erst nach dem </w:t>
      </w:r>
      <w:proofErr w:type="spellStart"/>
      <w:r>
        <w:t>Abschlußstichtag</w:t>
      </w:r>
      <w:proofErr w:type="spellEnd"/>
      <w:r>
        <w:t xml:space="preserve"> rechtlich entstehen, so müssen Beträge, die einen größeren Umfang haben, im Anhang erläutert werden.</w:t>
      </w:r>
    </w:p>
    <w:p w:rsidR="00945619" w:rsidRDefault="00945619" w:rsidP="00945619">
      <w:pPr>
        <w:pStyle w:val="StandardWeb"/>
      </w:pPr>
      <w:r>
        <w:lastRenderedPageBreak/>
        <w:t xml:space="preserve">(6) Ein nach § </w:t>
      </w:r>
      <w:hyperlink r:id="rId4" w:history="1">
        <w:r>
          <w:rPr>
            <w:rStyle w:val="Hyperlink"/>
          </w:rPr>
          <w:t>250</w:t>
        </w:r>
      </w:hyperlink>
      <w:r>
        <w:t xml:space="preserve"> Abs. 3 in den Rechnungsabgrenzungsposten auf der Aktivseite aufgenommener Unterschiedsbetrag ist in der Bilanz gesondert auszuweisen oder im Anhang anzugeben.</w:t>
      </w:r>
    </w:p>
    <w:p w:rsidR="00945619" w:rsidRPr="00945619" w:rsidRDefault="00945619" w:rsidP="00945619">
      <w:pPr>
        <w:pStyle w:val="StandardWeb"/>
        <w:rPr>
          <w:highlight w:val="yellow"/>
        </w:rPr>
      </w:pPr>
      <w:r w:rsidRPr="00945619">
        <w:rPr>
          <w:highlight w:val="yellow"/>
        </w:rPr>
        <w:t xml:space="preserve">(7) Für die in § </w:t>
      </w:r>
      <w:hyperlink r:id="rId5" w:history="1">
        <w:r w:rsidRPr="00945619">
          <w:rPr>
            <w:rStyle w:val="Hyperlink"/>
            <w:highlight w:val="yellow"/>
          </w:rPr>
          <w:t>251</w:t>
        </w:r>
      </w:hyperlink>
      <w:r w:rsidRPr="00945619">
        <w:rPr>
          <w:highlight w:val="yellow"/>
        </w:rPr>
        <w:t xml:space="preserve"> bezeichneten Haftungsverhältnisse sind</w:t>
      </w:r>
    </w:p>
    <w:tbl>
      <w:tblPr>
        <w:tblW w:w="0" w:type="auto"/>
        <w:tblCellSpacing w:w="15" w:type="dxa"/>
        <w:tblCellMar>
          <w:top w:w="15" w:type="dxa"/>
          <w:left w:w="15" w:type="dxa"/>
          <w:bottom w:w="15" w:type="dxa"/>
          <w:right w:w="15" w:type="dxa"/>
        </w:tblCellMar>
        <w:tblLook w:val="04A0"/>
      </w:tblPr>
      <w:tblGrid>
        <w:gridCol w:w="225"/>
        <w:gridCol w:w="228"/>
        <w:gridCol w:w="8709"/>
      </w:tblGrid>
      <w:tr w:rsidR="00945619" w:rsidRPr="00945619" w:rsidTr="00945619">
        <w:trPr>
          <w:tblCellSpacing w:w="15" w:type="dxa"/>
        </w:trPr>
        <w:tc>
          <w:tcPr>
            <w:tcW w:w="180" w:type="dxa"/>
            <w:vAlign w:val="center"/>
            <w:hideMark/>
          </w:tcPr>
          <w:p w:rsidR="00945619" w:rsidRPr="00945619" w:rsidRDefault="00945619">
            <w:pPr>
              <w:rPr>
                <w:sz w:val="24"/>
                <w:szCs w:val="24"/>
                <w:highlight w:val="yellow"/>
              </w:rPr>
            </w:pPr>
          </w:p>
        </w:tc>
        <w:tc>
          <w:tcPr>
            <w:tcW w:w="0" w:type="auto"/>
            <w:vAlign w:val="center"/>
            <w:hideMark/>
          </w:tcPr>
          <w:p w:rsidR="00945619" w:rsidRPr="00945619" w:rsidRDefault="00945619">
            <w:pPr>
              <w:rPr>
                <w:sz w:val="24"/>
                <w:szCs w:val="24"/>
                <w:highlight w:val="yellow"/>
              </w:rPr>
            </w:pPr>
            <w:r w:rsidRPr="00945619">
              <w:rPr>
                <w:highlight w:val="yellow"/>
              </w:rPr>
              <w:t xml:space="preserve">1. </w:t>
            </w:r>
          </w:p>
        </w:tc>
        <w:tc>
          <w:tcPr>
            <w:tcW w:w="0" w:type="auto"/>
            <w:vAlign w:val="center"/>
            <w:hideMark/>
          </w:tcPr>
          <w:p w:rsidR="00945619" w:rsidRPr="00945619" w:rsidRDefault="00945619">
            <w:pPr>
              <w:rPr>
                <w:sz w:val="24"/>
                <w:szCs w:val="24"/>
                <w:highlight w:val="yellow"/>
              </w:rPr>
            </w:pPr>
            <w:r w:rsidRPr="00945619">
              <w:rPr>
                <w:highlight w:val="yellow"/>
              </w:rPr>
              <w:t>die Angaben zu nicht auf der Passivseite auszuweisenden Verbindlichkeiten und Haftungsverhältnissen im Anhang zu machen,</w:t>
            </w:r>
          </w:p>
        </w:tc>
      </w:tr>
      <w:tr w:rsidR="00945619" w:rsidRPr="00945619" w:rsidTr="00945619">
        <w:trPr>
          <w:tblCellSpacing w:w="15" w:type="dxa"/>
        </w:trPr>
        <w:tc>
          <w:tcPr>
            <w:tcW w:w="180" w:type="dxa"/>
            <w:vAlign w:val="center"/>
            <w:hideMark/>
          </w:tcPr>
          <w:p w:rsidR="00945619" w:rsidRPr="00945619" w:rsidRDefault="00945619">
            <w:pPr>
              <w:rPr>
                <w:sz w:val="24"/>
                <w:szCs w:val="24"/>
                <w:highlight w:val="yellow"/>
              </w:rPr>
            </w:pPr>
          </w:p>
        </w:tc>
        <w:tc>
          <w:tcPr>
            <w:tcW w:w="0" w:type="auto"/>
            <w:vAlign w:val="center"/>
            <w:hideMark/>
          </w:tcPr>
          <w:p w:rsidR="00945619" w:rsidRPr="00945619" w:rsidRDefault="00945619">
            <w:pPr>
              <w:rPr>
                <w:sz w:val="24"/>
                <w:szCs w:val="24"/>
                <w:highlight w:val="yellow"/>
              </w:rPr>
            </w:pPr>
            <w:r w:rsidRPr="00945619">
              <w:rPr>
                <w:highlight w:val="yellow"/>
              </w:rPr>
              <w:t xml:space="preserve">2. </w:t>
            </w:r>
          </w:p>
        </w:tc>
        <w:tc>
          <w:tcPr>
            <w:tcW w:w="0" w:type="auto"/>
            <w:vAlign w:val="center"/>
            <w:hideMark/>
          </w:tcPr>
          <w:p w:rsidR="00945619" w:rsidRPr="00945619" w:rsidRDefault="00945619">
            <w:pPr>
              <w:rPr>
                <w:sz w:val="24"/>
                <w:szCs w:val="24"/>
                <w:highlight w:val="yellow"/>
              </w:rPr>
            </w:pPr>
            <w:r w:rsidRPr="00945619">
              <w:rPr>
                <w:highlight w:val="yellow"/>
              </w:rPr>
              <w:t>dabei die Haftungsverhältnisse jeweils gesondert unter Angabe der gewährten Pfandrechte und sonstigen Sicherheiten anzugeben und</w:t>
            </w:r>
          </w:p>
        </w:tc>
      </w:tr>
      <w:tr w:rsidR="00945619" w:rsidTr="00945619">
        <w:trPr>
          <w:tblCellSpacing w:w="15" w:type="dxa"/>
        </w:trPr>
        <w:tc>
          <w:tcPr>
            <w:tcW w:w="180" w:type="dxa"/>
            <w:vAlign w:val="center"/>
            <w:hideMark/>
          </w:tcPr>
          <w:p w:rsidR="00945619" w:rsidRPr="00945619" w:rsidRDefault="00945619">
            <w:pPr>
              <w:rPr>
                <w:sz w:val="24"/>
                <w:szCs w:val="24"/>
                <w:highlight w:val="yellow"/>
              </w:rPr>
            </w:pPr>
          </w:p>
        </w:tc>
        <w:tc>
          <w:tcPr>
            <w:tcW w:w="0" w:type="auto"/>
            <w:vAlign w:val="center"/>
            <w:hideMark/>
          </w:tcPr>
          <w:p w:rsidR="00945619" w:rsidRPr="00945619" w:rsidRDefault="00945619">
            <w:pPr>
              <w:rPr>
                <w:sz w:val="24"/>
                <w:szCs w:val="24"/>
                <w:highlight w:val="yellow"/>
              </w:rPr>
            </w:pPr>
            <w:r w:rsidRPr="00945619">
              <w:rPr>
                <w:highlight w:val="yellow"/>
              </w:rPr>
              <w:t xml:space="preserve">3. </w:t>
            </w:r>
          </w:p>
        </w:tc>
        <w:tc>
          <w:tcPr>
            <w:tcW w:w="0" w:type="auto"/>
            <w:vAlign w:val="center"/>
            <w:hideMark/>
          </w:tcPr>
          <w:p w:rsidR="00945619" w:rsidRDefault="00945619">
            <w:pPr>
              <w:rPr>
                <w:sz w:val="24"/>
                <w:szCs w:val="24"/>
              </w:rPr>
            </w:pPr>
            <w:r w:rsidRPr="00945619">
              <w:rPr>
                <w:highlight w:val="yellow"/>
              </w:rPr>
              <w:t>dabei Verpflichtungen betreffend die Altersversorgung und Verpflichtungen gegenüber verbundenen oder assoziierten Unternehmen jeweils gesondert zu vermerken.</w:t>
            </w:r>
          </w:p>
        </w:tc>
      </w:tr>
    </w:tbl>
    <w:p w:rsidR="00945619" w:rsidRDefault="00945619" w:rsidP="00945619">
      <w:pPr>
        <w:pStyle w:val="StandardWeb"/>
      </w:pPr>
      <w:r>
        <w:t xml:space="preserve">(8) Werden selbst geschaffene immaterielle Vermögensgegenstände des Anlagevermögens in der Bilanz ausgewiesen, so dürfen Gewinne nur ausgeschüttet werden, wenn die nach der Ausschüttung verbleibenden frei verfügbaren Rücklagen zuzüglich eines Gewinnvortrags und abzüglich eines Verlustvortrags mindestens den insgesamt angesetzten Beträgen abzüglich der hierfür gebildeten passiven latenten Steuern entsprechen. Werden aktive latente Steuern in der Bilanz ausgewiesen, ist Satz 1 auf den Betrag anzuwenden, um den die aktiven latenten Steuern die passiven latenten Steuern übersteigen. Bei Vermögensgegenständen im Sinn des § </w:t>
      </w:r>
      <w:hyperlink r:id="rId6" w:history="1">
        <w:r>
          <w:rPr>
            <w:rStyle w:val="Hyperlink"/>
          </w:rPr>
          <w:t>246</w:t>
        </w:r>
      </w:hyperlink>
      <w:r>
        <w:t xml:space="preserve"> Abs. 2 Satz 2 ist Satz 1 auf den Betrag abzüglich der hierfür gebildeten passiven latenten Steuern anzuwenden, der die Anschaffungskosten übersteigt.</w:t>
      </w:r>
    </w:p>
    <w:p w:rsidR="00945619" w:rsidRDefault="00945619"/>
    <w:p w:rsidR="00945619" w:rsidRDefault="00945619"/>
    <w:sectPr w:rsidR="00945619"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5619"/>
    <w:rsid w:val="0012634A"/>
    <w:rsid w:val="00196583"/>
    <w:rsid w:val="001D20B3"/>
    <w:rsid w:val="004D59D2"/>
    <w:rsid w:val="005E2517"/>
    <w:rsid w:val="008E1953"/>
    <w:rsid w:val="0091552D"/>
    <w:rsid w:val="00945619"/>
    <w:rsid w:val="00966ACF"/>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3">
    <w:name w:val="heading 3"/>
    <w:basedOn w:val="Standard"/>
    <w:link w:val="berschrift3Zchn"/>
    <w:uiPriority w:val="9"/>
    <w:qFormat/>
    <w:rsid w:val="00945619"/>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945619"/>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94561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94561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64227417">
      <w:bodyDiv w:val="1"/>
      <w:marLeft w:val="0"/>
      <w:marRight w:val="0"/>
      <w:marTop w:val="0"/>
      <w:marBottom w:val="0"/>
      <w:divBdr>
        <w:top w:val="none" w:sz="0" w:space="0" w:color="auto"/>
        <w:left w:val="none" w:sz="0" w:space="0" w:color="auto"/>
        <w:bottom w:val="none" w:sz="0" w:space="0" w:color="auto"/>
        <w:right w:val="none" w:sz="0" w:space="0" w:color="auto"/>
      </w:divBdr>
      <w:divsChild>
        <w:div w:id="894705116">
          <w:marLeft w:val="0"/>
          <w:marRight w:val="0"/>
          <w:marTop w:val="0"/>
          <w:marBottom w:val="0"/>
          <w:divBdr>
            <w:top w:val="none" w:sz="0" w:space="0" w:color="auto"/>
            <w:left w:val="none" w:sz="0" w:space="0" w:color="auto"/>
            <w:bottom w:val="none" w:sz="0" w:space="0" w:color="auto"/>
            <w:right w:val="none" w:sz="0" w:space="0" w:color="auto"/>
          </w:divBdr>
        </w:div>
        <w:div w:id="2147047429">
          <w:marLeft w:val="0"/>
          <w:marRight w:val="0"/>
          <w:marTop w:val="0"/>
          <w:marBottom w:val="0"/>
          <w:divBdr>
            <w:top w:val="none" w:sz="0" w:space="0" w:color="auto"/>
            <w:left w:val="none" w:sz="0" w:space="0" w:color="auto"/>
            <w:bottom w:val="none" w:sz="0" w:space="0" w:color="auto"/>
            <w:right w:val="none" w:sz="0" w:space="0" w:color="auto"/>
          </w:divBdr>
        </w:div>
      </w:divsChild>
    </w:div>
    <w:div w:id="1975791335">
      <w:bodyDiv w:val="1"/>
      <w:marLeft w:val="0"/>
      <w:marRight w:val="0"/>
      <w:marTop w:val="0"/>
      <w:marBottom w:val="0"/>
      <w:divBdr>
        <w:top w:val="none" w:sz="0" w:space="0" w:color="auto"/>
        <w:left w:val="none" w:sz="0" w:space="0" w:color="auto"/>
        <w:bottom w:val="none" w:sz="0" w:space="0" w:color="auto"/>
        <w:right w:val="none" w:sz="0" w:space="0" w:color="auto"/>
      </w:divBdr>
      <w:divsChild>
        <w:div w:id="1206060712">
          <w:marLeft w:val="0"/>
          <w:marRight w:val="0"/>
          <w:marTop w:val="0"/>
          <w:marBottom w:val="0"/>
          <w:divBdr>
            <w:top w:val="none" w:sz="0" w:space="0" w:color="auto"/>
            <w:left w:val="none" w:sz="0" w:space="0" w:color="auto"/>
            <w:bottom w:val="none" w:sz="0" w:space="0" w:color="auto"/>
            <w:right w:val="none" w:sz="0" w:space="0" w:color="auto"/>
          </w:divBdr>
        </w:div>
        <w:div w:id="1509445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ejure.org/gesetze/HGB/246.html" TargetMode="External"/><Relationship Id="rId5" Type="http://schemas.openxmlformats.org/officeDocument/2006/relationships/hyperlink" Target="http://dejure.org/gesetze/HGB/251.html" TargetMode="External"/><Relationship Id="rId4" Type="http://schemas.openxmlformats.org/officeDocument/2006/relationships/hyperlink" Target="http://dejure.org/gesetze/HGB/250.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3610</Characters>
  <Application>Microsoft Office Word</Application>
  <DocSecurity>0</DocSecurity>
  <Lines>30</Lines>
  <Paragraphs>8</Paragraphs>
  <ScaleCrop>false</ScaleCrop>
  <Company/>
  <LinksUpToDate>false</LinksUpToDate>
  <CharactersWithSpaces>4175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1</cp:revision>
  <dcterms:created xsi:type="dcterms:W3CDTF">2016-01-14T11:22:00Z</dcterms:created>
  <dcterms:modified xsi:type="dcterms:W3CDTF">2016-01-14T11:25:00Z</dcterms:modified>
</cp:coreProperties>
</file>