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6A1" w:rsidRDefault="00C816A1" w:rsidP="0020276A">
      <w:pPr>
        <w:pStyle w:val="berschrift3"/>
      </w:pPr>
    </w:p>
    <w:p w:rsidR="0020276A" w:rsidRDefault="00C816A1" w:rsidP="0020276A">
      <w:pPr>
        <w:rPr>
          <w:rFonts w:asciiTheme="majorHAnsi" w:eastAsiaTheme="majorEastAsia" w:hAnsiTheme="majorHAnsi" w:cstheme="majorBidi"/>
          <w:b/>
          <w:bCs/>
          <w:color w:val="4F81BD" w:themeColor="accent1"/>
        </w:rPr>
      </w:pPr>
      <w:hyperlink r:id="rId4" w:history="1">
        <w:r w:rsidRPr="00134F7F">
          <w:rPr>
            <w:rStyle w:val="Hyperlink"/>
            <w:rFonts w:asciiTheme="majorHAnsi" w:eastAsiaTheme="majorEastAsia" w:hAnsiTheme="majorHAnsi" w:cstheme="majorBidi"/>
            <w:b/>
            <w:bCs/>
          </w:rPr>
          <w:t>http://dejure.org/gesetze/HGB/267.html</w:t>
        </w:r>
      </w:hyperlink>
    </w:p>
    <w:p w:rsidR="00C816A1" w:rsidRDefault="00C816A1" w:rsidP="0020276A"/>
    <w:p w:rsidR="00C816A1" w:rsidRDefault="00C816A1" w:rsidP="00C816A1">
      <w:pPr>
        <w:pStyle w:val="berschrift3"/>
      </w:pPr>
      <w:r>
        <w:t>§ 267</w:t>
      </w:r>
      <w:r>
        <w:br/>
        <w:t>Umschreibung der Größenklassen</w:t>
      </w:r>
    </w:p>
    <w:p w:rsidR="00C816A1" w:rsidRDefault="00C816A1" w:rsidP="00C816A1">
      <w:pPr>
        <w:pStyle w:val="StandardWeb"/>
      </w:pPr>
      <w:r>
        <w:t>(1) Kleine Kapitalgesellschaften sind solche, die mindestens zwei der drei nachstehenden Merkmale nicht überschreiten:</w:t>
      </w:r>
    </w:p>
    <w:tbl>
      <w:tblPr>
        <w:tblW w:w="0" w:type="auto"/>
        <w:tblCellSpacing w:w="15" w:type="dxa"/>
        <w:tblCellMar>
          <w:top w:w="15" w:type="dxa"/>
          <w:left w:w="15" w:type="dxa"/>
          <w:bottom w:w="15" w:type="dxa"/>
          <w:right w:w="15" w:type="dxa"/>
        </w:tblCellMar>
        <w:tblLook w:val="04A0"/>
      </w:tblPr>
      <w:tblGrid>
        <w:gridCol w:w="225"/>
        <w:gridCol w:w="228"/>
        <w:gridCol w:w="7225"/>
      </w:tblGrid>
      <w:tr w:rsidR="00C816A1" w:rsidTr="00C816A1">
        <w:trPr>
          <w:tblCellSpacing w:w="15" w:type="dxa"/>
        </w:trPr>
        <w:tc>
          <w:tcPr>
            <w:tcW w:w="180" w:type="dxa"/>
            <w:vAlign w:val="center"/>
            <w:hideMark/>
          </w:tcPr>
          <w:p w:rsidR="00C816A1" w:rsidRDefault="00C816A1">
            <w:pPr>
              <w:rPr>
                <w:sz w:val="24"/>
                <w:szCs w:val="24"/>
              </w:rPr>
            </w:pPr>
          </w:p>
        </w:tc>
        <w:tc>
          <w:tcPr>
            <w:tcW w:w="0" w:type="auto"/>
            <w:vAlign w:val="center"/>
            <w:hideMark/>
          </w:tcPr>
          <w:p w:rsidR="00C816A1" w:rsidRDefault="00C816A1">
            <w:pPr>
              <w:rPr>
                <w:sz w:val="24"/>
                <w:szCs w:val="24"/>
              </w:rPr>
            </w:pPr>
            <w:r>
              <w:t xml:space="preserve">1. </w:t>
            </w:r>
          </w:p>
        </w:tc>
        <w:tc>
          <w:tcPr>
            <w:tcW w:w="0" w:type="auto"/>
            <w:vAlign w:val="center"/>
            <w:hideMark/>
          </w:tcPr>
          <w:p w:rsidR="00C816A1" w:rsidRDefault="00C816A1">
            <w:pPr>
              <w:rPr>
                <w:sz w:val="24"/>
                <w:szCs w:val="24"/>
              </w:rPr>
            </w:pPr>
            <w:r>
              <w:t>6 000 000 Euro Bilanzsumme.</w:t>
            </w:r>
          </w:p>
        </w:tc>
      </w:tr>
      <w:tr w:rsidR="00C816A1" w:rsidTr="00C816A1">
        <w:trPr>
          <w:tblCellSpacing w:w="15" w:type="dxa"/>
        </w:trPr>
        <w:tc>
          <w:tcPr>
            <w:tcW w:w="180" w:type="dxa"/>
            <w:vAlign w:val="center"/>
            <w:hideMark/>
          </w:tcPr>
          <w:p w:rsidR="00C816A1" w:rsidRDefault="00C816A1">
            <w:pPr>
              <w:rPr>
                <w:sz w:val="24"/>
                <w:szCs w:val="24"/>
              </w:rPr>
            </w:pPr>
          </w:p>
        </w:tc>
        <w:tc>
          <w:tcPr>
            <w:tcW w:w="0" w:type="auto"/>
            <w:vAlign w:val="center"/>
            <w:hideMark/>
          </w:tcPr>
          <w:p w:rsidR="00C816A1" w:rsidRDefault="00C816A1">
            <w:pPr>
              <w:rPr>
                <w:sz w:val="24"/>
                <w:szCs w:val="24"/>
              </w:rPr>
            </w:pPr>
            <w:r>
              <w:t xml:space="preserve">2. </w:t>
            </w:r>
          </w:p>
        </w:tc>
        <w:tc>
          <w:tcPr>
            <w:tcW w:w="0" w:type="auto"/>
            <w:vAlign w:val="center"/>
            <w:hideMark/>
          </w:tcPr>
          <w:p w:rsidR="00C816A1" w:rsidRDefault="00C816A1">
            <w:pPr>
              <w:rPr>
                <w:sz w:val="24"/>
                <w:szCs w:val="24"/>
              </w:rPr>
            </w:pPr>
            <w:r>
              <w:t xml:space="preserve">12 000 000 Euro Umsatzerlöse in den zwölf Monaten vor dem </w:t>
            </w:r>
            <w:proofErr w:type="spellStart"/>
            <w:r>
              <w:t>Abschlußstichtag</w:t>
            </w:r>
            <w:proofErr w:type="spellEnd"/>
            <w:r>
              <w:t>.</w:t>
            </w:r>
          </w:p>
        </w:tc>
      </w:tr>
      <w:tr w:rsidR="00C816A1" w:rsidTr="00C816A1">
        <w:trPr>
          <w:tblCellSpacing w:w="15" w:type="dxa"/>
        </w:trPr>
        <w:tc>
          <w:tcPr>
            <w:tcW w:w="180" w:type="dxa"/>
            <w:vAlign w:val="center"/>
            <w:hideMark/>
          </w:tcPr>
          <w:p w:rsidR="00C816A1" w:rsidRDefault="00C816A1">
            <w:pPr>
              <w:rPr>
                <w:sz w:val="24"/>
                <w:szCs w:val="24"/>
              </w:rPr>
            </w:pPr>
          </w:p>
        </w:tc>
        <w:tc>
          <w:tcPr>
            <w:tcW w:w="0" w:type="auto"/>
            <w:vAlign w:val="center"/>
            <w:hideMark/>
          </w:tcPr>
          <w:p w:rsidR="00C816A1" w:rsidRDefault="00C816A1">
            <w:pPr>
              <w:rPr>
                <w:sz w:val="24"/>
                <w:szCs w:val="24"/>
              </w:rPr>
            </w:pPr>
            <w:r>
              <w:t xml:space="preserve">3. </w:t>
            </w:r>
          </w:p>
        </w:tc>
        <w:tc>
          <w:tcPr>
            <w:tcW w:w="0" w:type="auto"/>
            <w:vAlign w:val="center"/>
            <w:hideMark/>
          </w:tcPr>
          <w:p w:rsidR="00C816A1" w:rsidRDefault="00C816A1">
            <w:pPr>
              <w:rPr>
                <w:sz w:val="24"/>
                <w:szCs w:val="24"/>
              </w:rPr>
            </w:pPr>
            <w:r>
              <w:t>Im Jahresdurchschnitt fünfzig Arbeitnehmer.</w:t>
            </w:r>
          </w:p>
        </w:tc>
      </w:tr>
    </w:tbl>
    <w:p w:rsidR="00C816A1" w:rsidRDefault="00C816A1" w:rsidP="00C816A1">
      <w:pPr>
        <w:pStyle w:val="StandardWeb"/>
      </w:pPr>
      <w:r>
        <w:t>(2) Mittelgroße Kapitalgesellschaften sind solche, die mindestens zwei der drei in Absatz 1 bezeichneten Merkmale überschreiten und jeweils mindestens zwei der drei nachstehenden Merkmale nicht überschreiten:</w:t>
      </w:r>
    </w:p>
    <w:tbl>
      <w:tblPr>
        <w:tblW w:w="0" w:type="auto"/>
        <w:tblCellSpacing w:w="15" w:type="dxa"/>
        <w:tblCellMar>
          <w:top w:w="15" w:type="dxa"/>
          <w:left w:w="15" w:type="dxa"/>
          <w:bottom w:w="15" w:type="dxa"/>
          <w:right w:w="15" w:type="dxa"/>
        </w:tblCellMar>
        <w:tblLook w:val="04A0"/>
      </w:tblPr>
      <w:tblGrid>
        <w:gridCol w:w="225"/>
        <w:gridCol w:w="228"/>
        <w:gridCol w:w="7225"/>
      </w:tblGrid>
      <w:tr w:rsidR="00C816A1" w:rsidTr="00C816A1">
        <w:trPr>
          <w:tblCellSpacing w:w="15" w:type="dxa"/>
        </w:trPr>
        <w:tc>
          <w:tcPr>
            <w:tcW w:w="180" w:type="dxa"/>
            <w:vAlign w:val="center"/>
            <w:hideMark/>
          </w:tcPr>
          <w:p w:rsidR="00C816A1" w:rsidRDefault="00C816A1">
            <w:pPr>
              <w:rPr>
                <w:sz w:val="24"/>
                <w:szCs w:val="24"/>
              </w:rPr>
            </w:pPr>
          </w:p>
        </w:tc>
        <w:tc>
          <w:tcPr>
            <w:tcW w:w="0" w:type="auto"/>
            <w:vAlign w:val="center"/>
            <w:hideMark/>
          </w:tcPr>
          <w:p w:rsidR="00C816A1" w:rsidRDefault="00C816A1">
            <w:pPr>
              <w:rPr>
                <w:sz w:val="24"/>
                <w:szCs w:val="24"/>
              </w:rPr>
            </w:pPr>
            <w:r>
              <w:t xml:space="preserve">1. </w:t>
            </w:r>
          </w:p>
        </w:tc>
        <w:tc>
          <w:tcPr>
            <w:tcW w:w="0" w:type="auto"/>
            <w:vAlign w:val="center"/>
            <w:hideMark/>
          </w:tcPr>
          <w:p w:rsidR="00C816A1" w:rsidRDefault="00C816A1">
            <w:pPr>
              <w:rPr>
                <w:sz w:val="24"/>
                <w:szCs w:val="24"/>
              </w:rPr>
            </w:pPr>
            <w:hyperlink r:id="rId5" w:history="1">
              <w:r>
                <w:rPr>
                  <w:rStyle w:val="Hyperlink"/>
                  <w:color w:val="1D1D3D"/>
                  <w:shd w:val="clear" w:color="auto" w:fill="FFFFDF"/>
                </w:rPr>
                <w:t xml:space="preserve">20 000 </w:t>
              </w:r>
              <w:proofErr w:type="spellStart"/>
              <w:r>
                <w:rPr>
                  <w:rStyle w:val="Hyperlink"/>
                  <w:color w:val="1D1D3D"/>
                  <w:shd w:val="clear" w:color="auto" w:fill="FFFFDF"/>
                </w:rPr>
                <w:t>000</w:t>
              </w:r>
              <w:proofErr w:type="spellEnd"/>
            </w:hyperlink>
            <w:r>
              <w:t xml:space="preserve"> Euro Bilanzsumme.</w:t>
            </w:r>
          </w:p>
        </w:tc>
      </w:tr>
      <w:tr w:rsidR="00C816A1" w:rsidTr="00C816A1">
        <w:trPr>
          <w:tblCellSpacing w:w="15" w:type="dxa"/>
        </w:trPr>
        <w:tc>
          <w:tcPr>
            <w:tcW w:w="180" w:type="dxa"/>
            <w:vAlign w:val="center"/>
            <w:hideMark/>
          </w:tcPr>
          <w:p w:rsidR="00C816A1" w:rsidRDefault="00C816A1">
            <w:pPr>
              <w:rPr>
                <w:sz w:val="24"/>
                <w:szCs w:val="24"/>
              </w:rPr>
            </w:pPr>
          </w:p>
        </w:tc>
        <w:tc>
          <w:tcPr>
            <w:tcW w:w="0" w:type="auto"/>
            <w:vAlign w:val="center"/>
            <w:hideMark/>
          </w:tcPr>
          <w:p w:rsidR="00C816A1" w:rsidRDefault="00C816A1">
            <w:pPr>
              <w:rPr>
                <w:sz w:val="24"/>
                <w:szCs w:val="24"/>
              </w:rPr>
            </w:pPr>
            <w:r>
              <w:t xml:space="preserve">2. </w:t>
            </w:r>
          </w:p>
        </w:tc>
        <w:tc>
          <w:tcPr>
            <w:tcW w:w="0" w:type="auto"/>
            <w:vAlign w:val="center"/>
            <w:hideMark/>
          </w:tcPr>
          <w:p w:rsidR="00C816A1" w:rsidRDefault="00C816A1">
            <w:pPr>
              <w:rPr>
                <w:sz w:val="24"/>
                <w:szCs w:val="24"/>
              </w:rPr>
            </w:pPr>
            <w:hyperlink r:id="rId6" w:history="1">
              <w:r>
                <w:rPr>
                  <w:rStyle w:val="Hyperlink"/>
                  <w:color w:val="1D1D3D"/>
                  <w:shd w:val="clear" w:color="auto" w:fill="FFFFDF"/>
                </w:rPr>
                <w:t xml:space="preserve">40 000 </w:t>
              </w:r>
              <w:proofErr w:type="spellStart"/>
              <w:r>
                <w:rPr>
                  <w:rStyle w:val="Hyperlink"/>
                  <w:color w:val="1D1D3D"/>
                  <w:shd w:val="clear" w:color="auto" w:fill="FFFFDF"/>
                </w:rPr>
                <w:t>000</w:t>
              </w:r>
              <w:proofErr w:type="spellEnd"/>
            </w:hyperlink>
            <w:r>
              <w:t xml:space="preserve"> Euro Umsatzerlöse in den zwölf Monaten vor dem </w:t>
            </w:r>
            <w:proofErr w:type="spellStart"/>
            <w:r>
              <w:t>Abschlußstichtag</w:t>
            </w:r>
            <w:proofErr w:type="spellEnd"/>
            <w:r>
              <w:t>.</w:t>
            </w:r>
          </w:p>
        </w:tc>
      </w:tr>
      <w:tr w:rsidR="00C816A1" w:rsidTr="00C816A1">
        <w:trPr>
          <w:tblCellSpacing w:w="15" w:type="dxa"/>
        </w:trPr>
        <w:tc>
          <w:tcPr>
            <w:tcW w:w="180" w:type="dxa"/>
            <w:vAlign w:val="center"/>
            <w:hideMark/>
          </w:tcPr>
          <w:p w:rsidR="00C816A1" w:rsidRDefault="00C816A1">
            <w:pPr>
              <w:rPr>
                <w:sz w:val="24"/>
                <w:szCs w:val="24"/>
              </w:rPr>
            </w:pPr>
          </w:p>
        </w:tc>
        <w:tc>
          <w:tcPr>
            <w:tcW w:w="0" w:type="auto"/>
            <w:vAlign w:val="center"/>
            <w:hideMark/>
          </w:tcPr>
          <w:p w:rsidR="00C816A1" w:rsidRDefault="00C816A1">
            <w:pPr>
              <w:rPr>
                <w:sz w:val="24"/>
                <w:szCs w:val="24"/>
              </w:rPr>
            </w:pPr>
            <w:r>
              <w:t xml:space="preserve">3. </w:t>
            </w:r>
          </w:p>
        </w:tc>
        <w:tc>
          <w:tcPr>
            <w:tcW w:w="0" w:type="auto"/>
            <w:vAlign w:val="center"/>
            <w:hideMark/>
          </w:tcPr>
          <w:p w:rsidR="00C816A1" w:rsidRDefault="00C816A1">
            <w:pPr>
              <w:rPr>
                <w:sz w:val="24"/>
                <w:szCs w:val="24"/>
              </w:rPr>
            </w:pPr>
            <w:r>
              <w:t>Im Jahresdurchschnitt zweihundertfünfzig Arbeitnehmer.</w:t>
            </w:r>
          </w:p>
        </w:tc>
      </w:tr>
    </w:tbl>
    <w:p w:rsidR="00C816A1" w:rsidRDefault="00C816A1" w:rsidP="00C816A1">
      <w:pPr>
        <w:pStyle w:val="StandardWeb"/>
      </w:pPr>
      <w:r>
        <w:t xml:space="preserve">(3) Große Kapitalgesellschaften sind solche, die mindestens zwei der drei in Absatz 2 bezeichneten Merkmale überschreiten. Eine Kapitalgesellschaft im Sinn des § </w:t>
      </w:r>
      <w:hyperlink r:id="rId7" w:history="1">
        <w:r>
          <w:rPr>
            <w:rStyle w:val="Hyperlink"/>
          </w:rPr>
          <w:t>264d</w:t>
        </w:r>
      </w:hyperlink>
      <w:r>
        <w:t xml:space="preserve"> gilt stets als große.</w:t>
      </w:r>
    </w:p>
    <w:p w:rsidR="00C816A1" w:rsidRDefault="00C816A1" w:rsidP="00C816A1">
      <w:pPr>
        <w:pStyle w:val="StandardWeb"/>
      </w:pPr>
      <w:r>
        <w:t xml:space="preserve">(4) Die Rechtsfolgen der Merkmale nach den Absätzen 1 bis 3 Satz 1 treten nur ein, wenn sie an den </w:t>
      </w:r>
      <w:proofErr w:type="spellStart"/>
      <w:r>
        <w:t>Abschlußstichtagen</w:t>
      </w:r>
      <w:proofErr w:type="spellEnd"/>
      <w:r>
        <w:t xml:space="preserve"> von zwei aufeinanderfolgenden Geschäftsjahren über- oder unterschritten werden. Im Falle der Umwandlung oder Neugründung treten die Rechtsfolgen schon ein, wenn die Voraussetzungen des Absatzes 1, 2 oder 3 am ersten </w:t>
      </w:r>
      <w:proofErr w:type="spellStart"/>
      <w:r>
        <w:t>Abschlußstichtag</w:t>
      </w:r>
      <w:proofErr w:type="spellEnd"/>
      <w:r>
        <w:t xml:space="preserve"> nach der Umwandlung oder Neugründung vorliegen. Satz 2 findet im Falle des Formwechsels keine Anwendung, sofern der formwechselnde Rechtsträger eine Kapitalgesellschaft oder eine Personenhandelsgesellschaft im Sinne des § </w:t>
      </w:r>
      <w:hyperlink r:id="rId8" w:history="1">
        <w:r>
          <w:rPr>
            <w:rStyle w:val="Hyperlink"/>
          </w:rPr>
          <w:t>264a</w:t>
        </w:r>
      </w:hyperlink>
      <w:r>
        <w:t xml:space="preserve"> Absatz 1 ist.</w:t>
      </w:r>
    </w:p>
    <w:p w:rsidR="00C816A1" w:rsidRDefault="00C816A1" w:rsidP="00C816A1">
      <w:pPr>
        <w:pStyle w:val="StandardWeb"/>
      </w:pPr>
      <w:r>
        <w:t xml:space="preserve">(4a) Die Bilanzsumme setzt sich aus den Posten zusammen, die in den Buchstaben A bis E des § </w:t>
      </w:r>
      <w:hyperlink r:id="rId9" w:history="1">
        <w:r>
          <w:rPr>
            <w:rStyle w:val="Hyperlink"/>
          </w:rPr>
          <w:t>266</w:t>
        </w:r>
      </w:hyperlink>
      <w:r>
        <w:t xml:space="preserve"> Absatz 2 aufgeführt sind. Ein auf der Aktivseite ausgewiesener Fehlbetrag (§ </w:t>
      </w:r>
      <w:hyperlink r:id="rId10" w:history="1">
        <w:r>
          <w:rPr>
            <w:rStyle w:val="Hyperlink"/>
          </w:rPr>
          <w:t>268</w:t>
        </w:r>
      </w:hyperlink>
      <w:r>
        <w:t xml:space="preserve"> Absatz 3) wird nicht in die Bilanzsumme einbezogen.</w:t>
      </w:r>
    </w:p>
    <w:p w:rsidR="00C816A1" w:rsidRDefault="00C816A1" w:rsidP="00C816A1">
      <w:pPr>
        <w:pStyle w:val="StandardWeb"/>
      </w:pPr>
      <w:r>
        <w:t>(5) Als durchschnittliche Zahl der Arbeitnehmer gilt der vierte Teil der Summe aus den Zahlen der jeweils am 31. März, 30. Juni, 30. September und 31. Dezember beschäftigten Arbeitnehmer einschließlich der im Ausland beschäftigten Arbeitnehmer, jedoch ohne die zu ihrer Berufsausbildung Beschäftigten.</w:t>
      </w:r>
    </w:p>
    <w:p w:rsidR="00C816A1" w:rsidRDefault="00C816A1" w:rsidP="00C816A1">
      <w:pPr>
        <w:pStyle w:val="StandardWeb"/>
      </w:pPr>
      <w:r>
        <w:lastRenderedPageBreak/>
        <w:t>(6) Informations- und Auskunftsrechte der Arbeitnehmervertretungen nach anderen Gesetzen bleiben unberührt.</w:t>
      </w:r>
    </w:p>
    <w:p w:rsidR="00C816A1" w:rsidRDefault="00C816A1" w:rsidP="00C816A1">
      <w:r>
        <w:rPr>
          <w:b/>
          <w:bCs/>
        </w:rPr>
        <w:t>Hinweis der Redaktion:</w:t>
      </w:r>
      <w:r>
        <w:t xml:space="preserve"> </w:t>
      </w:r>
    </w:p>
    <w:p w:rsidR="00C816A1" w:rsidRDefault="00C816A1" w:rsidP="00C816A1">
      <w:pPr>
        <w:pStyle w:val="StandardWeb"/>
      </w:pPr>
      <w:r>
        <w:t xml:space="preserve">Übergangsvorschriften in Art. </w:t>
      </w:r>
      <w:hyperlink r:id="rId11" w:history="1">
        <w:r>
          <w:rPr>
            <w:rStyle w:val="Hyperlink"/>
          </w:rPr>
          <w:t>66</w:t>
        </w:r>
      </w:hyperlink>
      <w:r>
        <w:t xml:space="preserve"> EGHGB. </w:t>
      </w:r>
    </w:p>
    <w:p w:rsidR="00C816A1" w:rsidRDefault="00C816A1" w:rsidP="00C816A1">
      <w:pPr>
        <w:pStyle w:val="hinweistext"/>
      </w:pPr>
      <w:r>
        <w:t xml:space="preserve">Fassung aufgrund des Gesetzes zur Umsetzung der 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(Bilanzrichtlinie-Umsetzungsgesetz - </w:t>
      </w:r>
      <w:proofErr w:type="spellStart"/>
      <w:r>
        <w:t>BilRUG</w:t>
      </w:r>
      <w:proofErr w:type="spellEnd"/>
      <w:r>
        <w:t>) vom 17.07.2015 (</w:t>
      </w:r>
      <w:proofErr w:type="spellStart"/>
      <w:r>
        <w:fldChar w:fldCharType="begin"/>
      </w:r>
      <w:r>
        <w:instrText xml:space="preserve"> HYPERLINK "http://dejure.org/dienste/internet?www.bgblportal.de/BGBL/bgbl1f/bgbl115s1245.pdf" </w:instrText>
      </w:r>
      <w:r>
        <w:fldChar w:fldCharType="separate"/>
      </w:r>
      <w:r>
        <w:rPr>
          <w:rStyle w:val="Hyperlink"/>
        </w:rPr>
        <w:t>BGBl</w:t>
      </w:r>
      <w:proofErr w:type="spellEnd"/>
      <w:r>
        <w:rPr>
          <w:rStyle w:val="Hyperlink"/>
        </w:rPr>
        <w:t>. I S. 1245</w:t>
      </w:r>
      <w:r>
        <w:fldChar w:fldCharType="end"/>
      </w:r>
      <w:r>
        <w:t xml:space="preserve">) </w:t>
      </w:r>
      <w:proofErr w:type="spellStart"/>
      <w:r>
        <w:t>m.W.v</w:t>
      </w:r>
      <w:proofErr w:type="spellEnd"/>
      <w:r>
        <w:t>. 23.07.2015.</w:t>
      </w:r>
    </w:p>
    <w:p w:rsidR="00C816A1" w:rsidRPr="0020276A" w:rsidRDefault="00C816A1" w:rsidP="0020276A"/>
    <w:sectPr w:rsidR="00C816A1" w:rsidRPr="0020276A"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0276A"/>
    <w:rsid w:val="0012634A"/>
    <w:rsid w:val="00196583"/>
    <w:rsid w:val="001D20B3"/>
    <w:rsid w:val="0020276A"/>
    <w:rsid w:val="004D59D2"/>
    <w:rsid w:val="005E2517"/>
    <w:rsid w:val="00662053"/>
    <w:rsid w:val="008E1953"/>
    <w:rsid w:val="00966ACF"/>
    <w:rsid w:val="00C816A1"/>
    <w:rsid w:val="00ED3A27"/>
    <w:rsid w:val="00ED79AD"/>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1">
    <w:name w:val="heading 1"/>
    <w:basedOn w:val="Standard"/>
    <w:link w:val="berschrift1Zchn"/>
    <w:uiPriority w:val="9"/>
    <w:qFormat/>
    <w:rsid w:val="002027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next w:val="Standard"/>
    <w:link w:val="berschrift3Zchn"/>
    <w:uiPriority w:val="9"/>
    <w:semiHidden/>
    <w:unhideWhenUsed/>
    <w:qFormat/>
    <w:rsid w:val="002027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0276A"/>
    <w:rPr>
      <w:color w:val="0000FF" w:themeColor="hyperlink"/>
      <w:u w:val="single"/>
    </w:rPr>
  </w:style>
  <w:style w:type="character" w:customStyle="1" w:styleId="berschrift1Zchn">
    <w:name w:val="Überschrift 1 Zchn"/>
    <w:basedOn w:val="Absatz-Standardschriftart"/>
    <w:link w:val="berschrift1"/>
    <w:uiPriority w:val="9"/>
    <w:rsid w:val="0020276A"/>
    <w:rPr>
      <w:rFonts w:ascii="Times New Roman" w:eastAsia="Times New Roman" w:hAnsi="Times New Roman" w:cs="Times New Roman"/>
      <w:b/>
      <w:bCs/>
      <w:kern w:val="36"/>
      <w:sz w:val="48"/>
      <w:szCs w:val="48"/>
      <w:lang w:eastAsia="de-DE"/>
    </w:rPr>
  </w:style>
  <w:style w:type="character" w:customStyle="1" w:styleId="jnenbez">
    <w:name w:val="jnenbez"/>
    <w:basedOn w:val="Absatz-Standardschriftart"/>
    <w:rsid w:val="0020276A"/>
  </w:style>
  <w:style w:type="character" w:customStyle="1" w:styleId="jnentitel">
    <w:name w:val="jnentitel"/>
    <w:basedOn w:val="Absatz-Standardschriftart"/>
    <w:rsid w:val="0020276A"/>
  </w:style>
  <w:style w:type="character" w:customStyle="1" w:styleId="berschrift3Zchn">
    <w:name w:val="Überschrift 3 Zchn"/>
    <w:basedOn w:val="Absatz-Standardschriftart"/>
    <w:link w:val="berschrift3"/>
    <w:uiPriority w:val="9"/>
    <w:semiHidden/>
    <w:rsid w:val="0020276A"/>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C816A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inweistext">
    <w:name w:val="hinweistext"/>
    <w:basedOn w:val="Standard"/>
    <w:rsid w:val="00C816A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916397746">
      <w:bodyDiv w:val="1"/>
      <w:marLeft w:val="0"/>
      <w:marRight w:val="0"/>
      <w:marTop w:val="0"/>
      <w:marBottom w:val="0"/>
      <w:divBdr>
        <w:top w:val="none" w:sz="0" w:space="0" w:color="auto"/>
        <w:left w:val="none" w:sz="0" w:space="0" w:color="auto"/>
        <w:bottom w:val="none" w:sz="0" w:space="0" w:color="auto"/>
        <w:right w:val="none" w:sz="0" w:space="0" w:color="auto"/>
      </w:divBdr>
    </w:div>
    <w:div w:id="1572541143">
      <w:bodyDiv w:val="1"/>
      <w:marLeft w:val="0"/>
      <w:marRight w:val="0"/>
      <w:marTop w:val="0"/>
      <w:marBottom w:val="0"/>
      <w:divBdr>
        <w:top w:val="none" w:sz="0" w:space="0" w:color="auto"/>
        <w:left w:val="none" w:sz="0" w:space="0" w:color="auto"/>
        <w:bottom w:val="none" w:sz="0" w:space="0" w:color="auto"/>
        <w:right w:val="none" w:sz="0" w:space="0" w:color="auto"/>
      </w:divBdr>
      <w:divsChild>
        <w:div w:id="486021991">
          <w:marLeft w:val="0"/>
          <w:marRight w:val="0"/>
          <w:marTop w:val="0"/>
          <w:marBottom w:val="0"/>
          <w:divBdr>
            <w:top w:val="none" w:sz="0" w:space="0" w:color="auto"/>
            <w:left w:val="none" w:sz="0" w:space="0" w:color="auto"/>
            <w:bottom w:val="none" w:sz="0" w:space="0" w:color="auto"/>
            <w:right w:val="none" w:sz="0" w:space="0" w:color="auto"/>
          </w:divBdr>
        </w:div>
        <w:div w:id="1381972635">
          <w:marLeft w:val="0"/>
          <w:marRight w:val="0"/>
          <w:marTop w:val="0"/>
          <w:marBottom w:val="0"/>
          <w:divBdr>
            <w:top w:val="none" w:sz="0" w:space="0" w:color="auto"/>
            <w:left w:val="none" w:sz="0" w:space="0" w:color="auto"/>
            <w:bottom w:val="none" w:sz="0" w:space="0" w:color="auto"/>
            <w:right w:val="none" w:sz="0" w:space="0" w:color="auto"/>
          </w:divBdr>
          <w:divsChild>
            <w:div w:id="13723405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13857430">
      <w:bodyDiv w:val="1"/>
      <w:marLeft w:val="0"/>
      <w:marRight w:val="0"/>
      <w:marTop w:val="0"/>
      <w:marBottom w:val="0"/>
      <w:divBdr>
        <w:top w:val="none" w:sz="0" w:space="0" w:color="auto"/>
        <w:left w:val="none" w:sz="0" w:space="0" w:color="auto"/>
        <w:bottom w:val="none" w:sz="0" w:space="0" w:color="auto"/>
        <w:right w:val="none" w:sz="0" w:space="0" w:color="auto"/>
      </w:divBdr>
      <w:divsChild>
        <w:div w:id="2023508802">
          <w:marLeft w:val="0"/>
          <w:marRight w:val="0"/>
          <w:marTop w:val="0"/>
          <w:marBottom w:val="0"/>
          <w:divBdr>
            <w:top w:val="none" w:sz="0" w:space="0" w:color="auto"/>
            <w:left w:val="none" w:sz="0" w:space="0" w:color="auto"/>
            <w:bottom w:val="none" w:sz="0" w:space="0" w:color="auto"/>
            <w:right w:val="none" w:sz="0" w:space="0" w:color="auto"/>
          </w:divBdr>
        </w:div>
        <w:div w:id="1340083110">
          <w:marLeft w:val="0"/>
          <w:marRight w:val="0"/>
          <w:marTop w:val="0"/>
          <w:marBottom w:val="0"/>
          <w:divBdr>
            <w:top w:val="none" w:sz="0" w:space="0" w:color="auto"/>
            <w:left w:val="none" w:sz="0" w:space="0" w:color="auto"/>
            <w:bottom w:val="none" w:sz="0" w:space="0" w:color="auto"/>
            <w:right w:val="none" w:sz="0" w:space="0" w:color="auto"/>
          </w:divBdr>
          <w:divsChild>
            <w:div w:id="1014499684">
              <w:marLeft w:val="0"/>
              <w:marRight w:val="0"/>
              <w:marTop w:val="0"/>
              <w:marBottom w:val="0"/>
              <w:divBdr>
                <w:top w:val="none" w:sz="0" w:space="0" w:color="auto"/>
                <w:left w:val="none" w:sz="0" w:space="0" w:color="auto"/>
                <w:bottom w:val="none" w:sz="0" w:space="0" w:color="auto"/>
                <w:right w:val="none" w:sz="0" w:space="0" w:color="auto"/>
              </w:divBdr>
              <w:divsChild>
                <w:div w:id="1811093751">
                  <w:marLeft w:val="0"/>
                  <w:marRight w:val="0"/>
                  <w:marTop w:val="0"/>
                  <w:marBottom w:val="0"/>
                  <w:divBdr>
                    <w:top w:val="none" w:sz="0" w:space="0" w:color="auto"/>
                    <w:left w:val="none" w:sz="0" w:space="0" w:color="auto"/>
                    <w:bottom w:val="none" w:sz="0" w:space="0" w:color="auto"/>
                    <w:right w:val="none" w:sz="0" w:space="0" w:color="auto"/>
                  </w:divBdr>
                  <w:divsChild>
                    <w:div w:id="831603282">
                      <w:marLeft w:val="0"/>
                      <w:marRight w:val="0"/>
                      <w:marTop w:val="0"/>
                      <w:marBottom w:val="0"/>
                      <w:divBdr>
                        <w:top w:val="none" w:sz="0" w:space="0" w:color="auto"/>
                        <w:left w:val="none" w:sz="0" w:space="0" w:color="auto"/>
                        <w:bottom w:val="none" w:sz="0" w:space="0" w:color="auto"/>
                        <w:right w:val="none" w:sz="0" w:space="0" w:color="auto"/>
                      </w:divBdr>
                    </w:div>
                    <w:div w:id="16660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jure.org/gesetze/HGB/264a.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ejure.org/gesetze/HGB/264d.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allto:40000000" TargetMode="External"/><Relationship Id="rId11" Type="http://schemas.openxmlformats.org/officeDocument/2006/relationships/hyperlink" Target="http://dejure.org/gesetze/EGHGB/66.html" TargetMode="External"/><Relationship Id="rId5" Type="http://schemas.openxmlformats.org/officeDocument/2006/relationships/hyperlink" Target="callto:20000000" TargetMode="External"/><Relationship Id="rId10" Type="http://schemas.openxmlformats.org/officeDocument/2006/relationships/hyperlink" Target="http://dejure.org/gesetze/HGB/268.html" TargetMode="External"/><Relationship Id="rId4" Type="http://schemas.openxmlformats.org/officeDocument/2006/relationships/hyperlink" Target="http://dejure.org/gesetze/HGB/267.html" TargetMode="External"/><Relationship Id="rId9" Type="http://schemas.openxmlformats.org/officeDocument/2006/relationships/hyperlink" Target="http://dejure.org/gesetze/HGB/266.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2796</Characters>
  <Application>Microsoft Office Word</Application>
  <DocSecurity>0</DocSecurity>
  <Lines>23</Lines>
  <Paragraphs>6</Paragraphs>
  <ScaleCrop>false</ScaleCrop>
  <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2</cp:revision>
  <dcterms:created xsi:type="dcterms:W3CDTF">2016-01-14T11:38:00Z</dcterms:created>
  <dcterms:modified xsi:type="dcterms:W3CDTF">2016-01-14T11:41:00Z</dcterms:modified>
</cp:coreProperties>
</file>