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07" w:rsidRDefault="00BF7407" w:rsidP="00707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fldChar w:fldCharType="begin"/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instrText xml:space="preserve"> HYPERLINK "</w:instrText>
      </w:r>
      <w:r w:rsidRPr="00BF740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instrText>http://dejure.org/gesetze/HGB/276.html</w:instrTex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instrText xml:space="preserve">" </w:instrTex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fldChar w:fldCharType="separate"/>
      </w:r>
      <w:r w:rsidRPr="00F428A0">
        <w:rPr>
          <w:rStyle w:val="Hyperlink"/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http://dejure.org/gesetze/HGB/276.html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fldChar w:fldCharType="end"/>
      </w:r>
    </w:p>
    <w:p w:rsidR="00BF7407" w:rsidRDefault="00BF7407" w:rsidP="00707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</w:p>
    <w:p w:rsidR="00BF7407" w:rsidRDefault="00BF7407" w:rsidP="00BF7407">
      <w:pPr>
        <w:pStyle w:val="berschrift3"/>
      </w:pPr>
      <w:r>
        <w:t>§ 276</w:t>
      </w:r>
      <w:r>
        <w:br/>
        <w:t>Größenabhängige Erleichterungen</w:t>
      </w:r>
    </w:p>
    <w:p w:rsidR="00BF7407" w:rsidRDefault="00BF7407" w:rsidP="00BF7407">
      <w:pPr>
        <w:pStyle w:val="StandardWeb"/>
      </w:pPr>
      <w:r>
        <w:t xml:space="preserve">Kleine und mittelgroße Kapitalgesellschaften (§ </w:t>
      </w:r>
      <w:hyperlink r:id="rId4" w:history="1">
        <w:r>
          <w:rPr>
            <w:rStyle w:val="Hyperlink"/>
          </w:rPr>
          <w:t>267</w:t>
        </w:r>
      </w:hyperlink>
      <w:r>
        <w:t xml:space="preserve"> Abs. 1, 2) dürfen die Posten § </w:t>
      </w:r>
      <w:hyperlink r:id="rId5" w:history="1">
        <w:r>
          <w:rPr>
            <w:rStyle w:val="Hyperlink"/>
          </w:rPr>
          <w:t>275</w:t>
        </w:r>
      </w:hyperlink>
      <w:r>
        <w:t xml:space="preserve"> Abs. 2 Nr. 1 bis 5 oder Abs. 3 Nr. 1 bis 3 und </w:t>
      </w:r>
      <w:hyperlink r:id="rId6" w:history="1">
        <w:r>
          <w:rPr>
            <w:rStyle w:val="Hyperlink"/>
          </w:rPr>
          <w:t>6</w:t>
        </w:r>
      </w:hyperlink>
      <w:r>
        <w:t xml:space="preserve"> zu einem Posten unter der Bezeichnung "Rohergebnis" zusammenfassen. Die Erleichterungen nach Satz 1 gelten nicht für </w:t>
      </w:r>
      <w:proofErr w:type="spellStart"/>
      <w:r>
        <w:t>Kleinstkapitalgesellschaften</w:t>
      </w:r>
      <w:proofErr w:type="spellEnd"/>
      <w:r>
        <w:t xml:space="preserve"> (§ </w:t>
      </w:r>
      <w:hyperlink r:id="rId7" w:history="1">
        <w:r>
          <w:rPr>
            <w:rStyle w:val="Hyperlink"/>
          </w:rPr>
          <w:t>267a</w:t>
        </w:r>
      </w:hyperlink>
      <w:r>
        <w:t xml:space="preserve">), die von der Regelung des § </w:t>
      </w:r>
      <w:hyperlink r:id="rId8" w:history="1">
        <w:r>
          <w:rPr>
            <w:rStyle w:val="Hyperlink"/>
          </w:rPr>
          <w:t>275</w:t>
        </w:r>
      </w:hyperlink>
      <w:r>
        <w:t xml:space="preserve"> Absatz 5 Gebrauch machen.</w:t>
      </w:r>
    </w:p>
    <w:p w:rsidR="00BF7407" w:rsidRDefault="00BF7407" w:rsidP="00BF7407">
      <w:pPr>
        <w:pStyle w:val="hinweistext"/>
      </w:pPr>
      <w:r>
        <w:t xml:space="preserve">Fassung aufgrund des Gesetzes zur Umsetzung der Richtlinie 2013/34/EU des Europäischen Parlaments und des Rates vom 26. Juni 2013 über den Jahresabschluss, den konsolidierten Abschluss und damit verbundene Berichte von Unternehmen bestimmter Rechtsformen und zur Änderung der Richtlinie 2006/43/EG des Europäischen Parlaments und des Rates und zur Aufhebung der Richtlinien 78/660/EWG und 83/349/EWG des Rates (Bilanzrichtlinie-Umsetzungsgesetz - </w:t>
      </w:r>
      <w:proofErr w:type="spellStart"/>
      <w:r>
        <w:t>BilRUG</w:t>
      </w:r>
      <w:proofErr w:type="spellEnd"/>
      <w:r>
        <w:t>) vom 17.07.2015 (</w:t>
      </w:r>
      <w:proofErr w:type="spellStart"/>
      <w:r>
        <w:fldChar w:fldCharType="begin"/>
      </w:r>
      <w:r>
        <w:instrText xml:space="preserve"> HYPERLINK "http://dejure.org/dienste/internet?www.bgblportal.de/BGBL/bgbl1f/bgbl115s1245.pdf" </w:instrText>
      </w:r>
      <w:r>
        <w:fldChar w:fldCharType="separate"/>
      </w:r>
      <w:r>
        <w:rPr>
          <w:rStyle w:val="Hyperlink"/>
        </w:rPr>
        <w:t>BGBl</w:t>
      </w:r>
      <w:proofErr w:type="spellEnd"/>
      <w:r>
        <w:rPr>
          <w:rStyle w:val="Hyperlink"/>
        </w:rPr>
        <w:t>. I S. 1245</w:t>
      </w:r>
      <w:r>
        <w:fldChar w:fldCharType="end"/>
      </w:r>
      <w:r>
        <w:t xml:space="preserve">) </w:t>
      </w:r>
      <w:proofErr w:type="spellStart"/>
      <w:r>
        <w:t>m.W.v</w:t>
      </w:r>
      <w:proofErr w:type="spellEnd"/>
      <w:r>
        <w:t>. 23.07.2015.</w:t>
      </w:r>
    </w:p>
    <w:p w:rsidR="00BF7407" w:rsidRDefault="00BF7407" w:rsidP="00707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__</w:t>
      </w:r>
    </w:p>
    <w:p w:rsidR="00BF7407" w:rsidRDefault="00BF7407" w:rsidP="00BF7407">
      <w:pPr>
        <w:pStyle w:val="berschrift3"/>
      </w:pPr>
      <w:r>
        <w:t>§ 275</w:t>
      </w:r>
      <w:r>
        <w:br/>
        <w:t>Gliederung</w:t>
      </w:r>
    </w:p>
    <w:p w:rsidR="00BF7407" w:rsidRDefault="00BF7407" w:rsidP="00BF7407">
      <w:pPr>
        <w:pStyle w:val="StandardWeb"/>
      </w:pPr>
      <w:r>
        <w:t>(1) Die Gewinn- und Verlustrechnung ist in Staffelform nach dem Gesamtkostenverfahren oder dem Umsatzkostenverfahren aufzustellen. Dabei sind die in Absatz 2 oder 3 bezeichneten Posten in der angegebenen Reihenfolge gesondert auszuweisen.</w:t>
      </w:r>
    </w:p>
    <w:p w:rsidR="00BF7407" w:rsidRDefault="00BF7407" w:rsidP="00BF7407">
      <w:pPr>
        <w:pStyle w:val="StandardWeb"/>
      </w:pPr>
      <w:r>
        <w:t>(2) Bei Anwendung des Gesamtkostenverfahrens sind auszuweisen: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339"/>
        <w:gridCol w:w="243"/>
        <w:gridCol w:w="8355"/>
      </w:tblGrid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Umsatzerlöse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2.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Erhöhung oder Verminderung des Bestands an fertigen und unfertigen Erzeugnissen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3.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andere aktivierte Eigenleistungen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4.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betriebliche Erträge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5.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Materialaufwand: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50" w:type="pct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a)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Aufwendungen für Roh-, Hilfs- und Betriebsstoffe und für bezogene Waren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50" w:type="pct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b)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Aufwendungen für bezogene Leistungen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6.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Personalaufwand: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50" w:type="pct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a)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Löhne und Gehälter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50" w:type="pct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b)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soziale Abgaben und Aufwendungen für Altersversorgung und für Unterstützung,</w:t>
            </w:r>
            <w:r>
              <w:br/>
              <w:t>davon für Altersversorgung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7.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Abschreibungen: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50" w:type="pct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a)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auf immaterielle Vermögensgegenstände des Anlagevermögens und Sachanlagen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50" w:type="pct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b)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auf Vermögensgegenstände des Umlaufvermögens, soweit diese die in der Kapitalgesellschaft üblichen Abschreibungen überschreiten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8.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betriebliche Aufwendungen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9.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Erträge aus Beteiligungen,</w:t>
            </w:r>
            <w:r>
              <w:br/>
              <w:t>davon aus verbundenen Unternehmen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10.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Erträge aus anderen Wertpapieren und Ausleihungen des Finanzanlagevermögens,</w:t>
            </w:r>
            <w:r>
              <w:br/>
              <w:t>davon aus verbundenen Unternehmen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11.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Zinsen und ähnliche Erträge,</w:t>
            </w:r>
            <w:r>
              <w:br/>
              <w:t>davon aus verbundenen Unternehmen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12.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Abschreibungen auf Finanzanlagen und auf Wertpapiere des Umlaufvermögens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13.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Zinsen und ähnliche Aufwendungen,</w:t>
            </w:r>
            <w:r>
              <w:br/>
              <w:t>davon an verbundene Unternehmen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14.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Steuern vom Einkommen und vom Ertrag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15.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Ergebnis nach Steuern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16.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Steuern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17.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Jahresüberschuss/Jahresfehlbetrag.</w:t>
            </w:r>
          </w:p>
        </w:tc>
      </w:tr>
    </w:tbl>
    <w:p w:rsidR="00BF7407" w:rsidRDefault="00BF7407" w:rsidP="00BF7407">
      <w:pPr>
        <w:pStyle w:val="StandardWeb"/>
      </w:pPr>
      <w:r>
        <w:t>(3) Bei Anwendung des Umsatzkostenverfahrens sind auszuweisen: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339"/>
        <w:gridCol w:w="7469"/>
      </w:tblGrid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Umsatzerlöse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Herstellungskosten der zur Erzielung der Umsatzerlöse erbrachten Leistungen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Bruttoergebnis vom Umsatz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Vertriebskosten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allgemeine Verwaltungskosten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betriebliche Erträge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betriebliche Aufwendungen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Erträge aus Beteiligungen,</w:t>
            </w:r>
            <w:r>
              <w:br/>
              <w:t>davon aus verbundenen Unternehmen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Erträge aus anderen Wertpapieren und Ausleihungen des Finanzanlagevermögens,</w:t>
            </w:r>
            <w:r>
              <w:br/>
              <w:t>davon aus verbundenen Unternehmen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Zinsen und ähnliche Erträge,</w:t>
            </w:r>
            <w:r>
              <w:br/>
              <w:t>davon aus verbundenen Unternehmen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11.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Abschreibungen auf Finanzanlagen und auf Wertpapiere des Umlaufvermögens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12.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Zinsen und ähnliche Aufwendungen,</w:t>
            </w:r>
            <w:r>
              <w:br/>
              <w:t>davon an verbundene Unternehmen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13.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Steuern vom Einkommen und vom Ertrag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14.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Ergebnis nach Steuern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15.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Steuern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16.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Jahresüberschuss/Jahresfehlbetrag.</w:t>
            </w:r>
          </w:p>
        </w:tc>
      </w:tr>
    </w:tbl>
    <w:p w:rsidR="00BF7407" w:rsidRDefault="00BF7407" w:rsidP="00BF7407">
      <w:pPr>
        <w:pStyle w:val="StandardWeb"/>
      </w:pPr>
      <w:r>
        <w:t>(4) Veränderungen der Kapital- und Gewinnrücklagen dürfen in der Gewinn- und Verlustrechnung erst nach dem Posten "</w:t>
      </w:r>
      <w:proofErr w:type="spellStart"/>
      <w:r>
        <w:t>Jahresüberschuß</w:t>
      </w:r>
      <w:proofErr w:type="spellEnd"/>
      <w:r>
        <w:t>/Jahresfehlbetrag" ausgewiesen werden.</w:t>
      </w:r>
    </w:p>
    <w:p w:rsidR="00BF7407" w:rsidRDefault="00BF7407" w:rsidP="00BF7407">
      <w:pPr>
        <w:pStyle w:val="StandardWeb"/>
      </w:pPr>
      <w:r>
        <w:t xml:space="preserve">(5) </w:t>
      </w:r>
      <w:proofErr w:type="spellStart"/>
      <w:r>
        <w:t>Kleinstkapitalgesellschaften</w:t>
      </w:r>
      <w:proofErr w:type="spellEnd"/>
      <w:r>
        <w:t xml:space="preserve"> (§ </w:t>
      </w:r>
      <w:hyperlink r:id="rId9" w:history="1">
        <w:r>
          <w:rPr>
            <w:rStyle w:val="Hyperlink"/>
          </w:rPr>
          <w:t>267a</w:t>
        </w:r>
      </w:hyperlink>
      <w:r>
        <w:t>) können anstelle der Staffelungen nach den Absätzen 2 und 3 die Gewinn- und Verlustrechnung wie folgt darstellen: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28"/>
        <w:gridCol w:w="3269"/>
      </w:tblGrid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Umsatzerlöse,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Erträge,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Materialaufwand,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Personalaufwand,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Abschreibungen,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sonstige Aufwendungen,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Steuern,</w:t>
            </w:r>
          </w:p>
        </w:tc>
      </w:tr>
      <w:tr w:rsidR="00BF7407" w:rsidTr="00BF7407">
        <w:trPr>
          <w:tblCellSpacing w:w="15" w:type="dxa"/>
        </w:trPr>
        <w:tc>
          <w:tcPr>
            <w:tcW w:w="180" w:type="dxa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BF7407" w:rsidRDefault="00BF7407">
            <w:pPr>
              <w:rPr>
                <w:sz w:val="24"/>
                <w:szCs w:val="24"/>
              </w:rPr>
            </w:pPr>
            <w:r>
              <w:t>Jahresüberschuss/Jahresfehlbetrag.</w:t>
            </w:r>
          </w:p>
        </w:tc>
      </w:tr>
    </w:tbl>
    <w:p w:rsidR="00BF7407" w:rsidRDefault="00BF7407" w:rsidP="00BF7407">
      <w:pPr>
        <w:pStyle w:val="hinweistext"/>
      </w:pPr>
      <w:r>
        <w:lastRenderedPageBreak/>
        <w:t xml:space="preserve">Fassung aufgrund des Gesetzes zur Umsetzung der Richtlinie 2013/34/EU des Europäischen Parlaments und des Rates vom 26. Juni 2013 über den Jahresabschluss, den konsolidierten Abschluss und damit verbundene Berichte von Unternehmen bestimmter Rechtsformen und zur Änderung der Richtlinie 2006/43/EG des Europäischen Parlaments und des Rates und zur Aufhebung der Richtlinien 78/660/EWG und 83/349/EWG des Rates (Bilanzrichtlinie-Umsetzungsgesetz - </w:t>
      </w:r>
      <w:proofErr w:type="spellStart"/>
      <w:r>
        <w:t>BilRUG</w:t>
      </w:r>
      <w:proofErr w:type="spellEnd"/>
      <w:r>
        <w:t>) vom 17.07.2015 (</w:t>
      </w:r>
      <w:proofErr w:type="spellStart"/>
      <w:r>
        <w:fldChar w:fldCharType="begin"/>
      </w:r>
      <w:r>
        <w:instrText xml:space="preserve"> HYPERLINK "http://dejure.org/dienste/internet?www.bgblportal.de/BGBL/bgbl1f/bgbl115s1245.pdf" </w:instrText>
      </w:r>
      <w:r>
        <w:fldChar w:fldCharType="separate"/>
      </w:r>
      <w:r>
        <w:rPr>
          <w:rStyle w:val="Hyperlink"/>
        </w:rPr>
        <w:t>BGBl</w:t>
      </w:r>
      <w:proofErr w:type="spellEnd"/>
      <w:r>
        <w:rPr>
          <w:rStyle w:val="Hyperlink"/>
        </w:rPr>
        <w:t>. I S. 1245</w:t>
      </w:r>
      <w:r>
        <w:fldChar w:fldCharType="end"/>
      </w:r>
      <w:r>
        <w:t xml:space="preserve">) </w:t>
      </w:r>
      <w:proofErr w:type="spellStart"/>
      <w:r>
        <w:t>m.W.v</w:t>
      </w:r>
      <w:proofErr w:type="spellEnd"/>
      <w:r>
        <w:t>. 23.07.2015.</w:t>
      </w:r>
    </w:p>
    <w:p w:rsidR="00BF7407" w:rsidRDefault="00BF7407" w:rsidP="00707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__</w:t>
      </w:r>
    </w:p>
    <w:p w:rsidR="00BF7407" w:rsidRDefault="00BF7407" w:rsidP="00707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</w:p>
    <w:p w:rsidR="00BF7407" w:rsidRPr="00707340" w:rsidRDefault="00BF7407" w:rsidP="007073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</w:p>
    <w:p w:rsidR="004D59D2" w:rsidRDefault="004D59D2"/>
    <w:sectPr w:rsidR="004D59D2" w:rsidSect="004D59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7340"/>
    <w:rsid w:val="0012634A"/>
    <w:rsid w:val="00196583"/>
    <w:rsid w:val="001D20B3"/>
    <w:rsid w:val="004D59D2"/>
    <w:rsid w:val="005E2517"/>
    <w:rsid w:val="00707340"/>
    <w:rsid w:val="008E1953"/>
    <w:rsid w:val="008F25D1"/>
    <w:rsid w:val="00966ACF"/>
    <w:rsid w:val="00BF7407"/>
    <w:rsid w:val="00ED3A27"/>
    <w:rsid w:val="00ED79AD"/>
    <w:rsid w:val="00F8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59D2"/>
  </w:style>
  <w:style w:type="paragraph" w:styleId="berschrift3">
    <w:name w:val="heading 3"/>
    <w:basedOn w:val="Standard"/>
    <w:link w:val="berschrift3Zchn"/>
    <w:uiPriority w:val="9"/>
    <w:qFormat/>
    <w:rsid w:val="007073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0734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Hyperlink">
    <w:name w:val="Hyperlink"/>
    <w:basedOn w:val="Absatz-Standardschriftart"/>
    <w:uiPriority w:val="99"/>
    <w:unhideWhenUsed/>
    <w:rsid w:val="00BF7407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BF7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hinweistext">
    <w:name w:val="hinweistext"/>
    <w:basedOn w:val="Standard"/>
    <w:rsid w:val="00BF7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jure.org/gesetze/HGB/27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ejure.org/gesetze/HGB/267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jure.org/gesetze/HGB/6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ejure.org/gesetze/HGB/275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ejure.org/gesetze/HGB/267.html" TargetMode="External"/><Relationship Id="rId9" Type="http://schemas.openxmlformats.org/officeDocument/2006/relationships/hyperlink" Target="http://dejure.org/gesetze/HGB/267a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695</Words>
  <Characters>4383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Mue7</dc:creator>
  <cp:lastModifiedBy>Mue7</cp:lastModifiedBy>
  <cp:revision>2</cp:revision>
  <dcterms:created xsi:type="dcterms:W3CDTF">2016-01-14T11:42:00Z</dcterms:created>
  <dcterms:modified xsi:type="dcterms:W3CDTF">2016-01-14T11:47:00Z</dcterms:modified>
</cp:coreProperties>
</file>