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D2" w:rsidRDefault="00AC45C0">
      <w:r>
        <w:fldChar w:fldCharType="begin"/>
      </w:r>
      <w:r>
        <w:instrText xml:space="preserve"> HYPERLINK "</w:instrText>
      </w:r>
      <w:r w:rsidRPr="00AC45C0">
        <w:instrText>http://dejure.org/gesetze/HGB/327.html</w:instrText>
      </w:r>
      <w:r>
        <w:instrText xml:space="preserve">" </w:instrText>
      </w:r>
      <w:r>
        <w:fldChar w:fldCharType="separate"/>
      </w:r>
      <w:r w:rsidRPr="009568DB">
        <w:rPr>
          <w:rStyle w:val="Hyperlink"/>
        </w:rPr>
        <w:t>http://dejure.org/gesetze/HGB/327.html</w:t>
      </w:r>
      <w:r>
        <w:fldChar w:fldCharType="end"/>
      </w:r>
    </w:p>
    <w:p w:rsidR="00AC45C0" w:rsidRDefault="00AC45C0"/>
    <w:p w:rsidR="00AC45C0" w:rsidRPr="00AC45C0" w:rsidRDefault="00AC45C0" w:rsidP="00AC45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AC45C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§ 327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_</w:t>
      </w:r>
      <w:r w:rsidRPr="00AC45C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Größenabhängige Erleichterungen für mittelgroße Kapitalgesellschaften bei der Offenlegung</w:t>
      </w:r>
    </w:p>
    <w:p w:rsidR="00AC45C0" w:rsidRPr="00AC45C0" w:rsidRDefault="00AC45C0" w:rsidP="00AC45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45C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Auf mittelgroße Kapitalgesellschaften (§ </w:t>
      </w:r>
      <w:hyperlink r:id="rId4" w:history="1">
        <w:r w:rsidRPr="00AC45C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267</w:t>
        </w:r>
      </w:hyperlink>
      <w:r w:rsidRPr="00AC45C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Abs. 2) ist § </w:t>
      </w:r>
      <w:hyperlink r:id="rId5" w:history="1">
        <w:r w:rsidRPr="00AC45C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325</w:t>
        </w:r>
      </w:hyperlink>
      <w:r w:rsidRPr="00AC45C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Abs. 1 mit der Maßgabe anzuwenden, </w:t>
      </w:r>
      <w:proofErr w:type="spellStart"/>
      <w:r w:rsidRPr="00AC45C0">
        <w:rPr>
          <w:rFonts w:ascii="Times New Roman" w:eastAsia="Times New Roman" w:hAnsi="Times New Roman" w:cs="Times New Roman"/>
          <w:sz w:val="24"/>
          <w:szCs w:val="24"/>
          <w:lang w:eastAsia="de-DE"/>
        </w:rPr>
        <w:t>daß</w:t>
      </w:r>
      <w:proofErr w:type="spellEnd"/>
      <w:r w:rsidRPr="00AC45C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die gesetzlichen Vertreter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240"/>
        <w:gridCol w:w="8697"/>
      </w:tblGrid>
      <w:tr w:rsidR="00AC45C0" w:rsidRPr="00AC45C0" w:rsidTr="00AC45C0">
        <w:trPr>
          <w:tblCellSpacing w:w="15" w:type="dxa"/>
        </w:trPr>
        <w:tc>
          <w:tcPr>
            <w:tcW w:w="180" w:type="dxa"/>
            <w:vAlign w:val="center"/>
            <w:hideMark/>
          </w:tcPr>
          <w:p w:rsidR="00AC45C0" w:rsidRPr="00AC45C0" w:rsidRDefault="00AC45C0" w:rsidP="00AC4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:rsidR="00AC45C0" w:rsidRPr="00AC45C0" w:rsidRDefault="00AC45C0" w:rsidP="00AC4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C45C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AC45C0" w:rsidRPr="00AC45C0" w:rsidRDefault="00AC45C0" w:rsidP="00AC4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C45C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die Bilanz nur in der für kleine Kapitalgesellschaften nach § </w:t>
            </w:r>
            <w:hyperlink r:id="rId6" w:history="1">
              <w:r w:rsidRPr="00AC45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DE"/>
                </w:rPr>
                <w:t>266</w:t>
              </w:r>
            </w:hyperlink>
            <w:r w:rsidRPr="00AC45C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Abs. 1 Satz 3 vorgeschriebenen Form beim Betreiber des Bundesanzeigers einreichen müssen. In der Bilanz oder im Anhang sind jedoch die folgenden Posten des § </w:t>
            </w:r>
            <w:hyperlink r:id="rId7" w:history="1">
              <w:r w:rsidRPr="00AC45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DE"/>
                </w:rPr>
                <w:t>266</w:t>
              </w:r>
            </w:hyperlink>
            <w:r w:rsidRPr="00AC45C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Abs. 2 und 3 zusätzlich gesondert anzugeben:</w:t>
            </w:r>
            <w:r w:rsidRPr="00AC45C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</w:r>
            <w:r w:rsidRPr="00AC45C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  <w:t>Auf der Aktivseite</w:t>
            </w:r>
            <w:r w:rsidRPr="00AC45C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  <w:t> 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0"/>
              <w:gridCol w:w="7602"/>
            </w:tblGrid>
            <w:tr w:rsidR="00AC45C0" w:rsidRPr="00AC45C0">
              <w:trPr>
                <w:tblCellSpacing w:w="15" w:type="dxa"/>
              </w:trPr>
              <w:tc>
                <w:tcPr>
                  <w:tcW w:w="975" w:type="dxa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 I 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Selbst geschaffene gewerbliche Schutzrechte und ähnliche Rechte und Werte;</w:t>
                  </w:r>
                </w:p>
              </w:tc>
            </w:tr>
            <w:tr w:rsidR="00AC45C0" w:rsidRPr="00AC45C0">
              <w:trPr>
                <w:tblCellSpacing w:w="15" w:type="dxa"/>
              </w:trPr>
              <w:tc>
                <w:tcPr>
                  <w:tcW w:w="975" w:type="dxa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 I 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Geschäfts- oder Firmenwert;</w:t>
                  </w:r>
                </w:p>
              </w:tc>
            </w:tr>
            <w:tr w:rsidR="00AC45C0" w:rsidRPr="00AC45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 II 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Grundstücke, grundstücksgleiche Rechte und Bauten einschließlich der Bauten auf fremden Grundstücken;</w:t>
                  </w:r>
                </w:p>
              </w:tc>
            </w:tr>
            <w:tr w:rsidR="00AC45C0" w:rsidRPr="00AC45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 II 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technische Anlagen und Maschinen;</w:t>
                  </w:r>
                </w:p>
              </w:tc>
            </w:tr>
            <w:tr w:rsidR="00AC45C0" w:rsidRPr="00AC45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 II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andere Anlagen, Betriebs- und Geschäftsausstattung;</w:t>
                  </w:r>
                </w:p>
              </w:tc>
            </w:tr>
            <w:tr w:rsidR="00AC45C0" w:rsidRPr="00AC45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 II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geleistete Anzahlungen und Anlagen im Bau;</w:t>
                  </w:r>
                </w:p>
              </w:tc>
            </w:tr>
            <w:tr w:rsidR="00AC45C0" w:rsidRPr="00AC45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 III 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Anteile an verbundenen Unternehmen;</w:t>
                  </w:r>
                </w:p>
              </w:tc>
            </w:tr>
            <w:tr w:rsidR="00AC45C0" w:rsidRPr="00AC45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 III 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Ausleihungen an verbundene Unternehmen;</w:t>
                  </w:r>
                </w:p>
              </w:tc>
            </w:tr>
            <w:tr w:rsidR="00AC45C0" w:rsidRPr="00AC45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 III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Beteiligungen;</w:t>
                  </w:r>
                </w:p>
              </w:tc>
            </w:tr>
            <w:tr w:rsidR="00AC45C0" w:rsidRPr="00AC45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 III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Ausleihungen an Unternehmen, mit denen ein Beteiligungsverhältnis besteht;</w:t>
                  </w:r>
                </w:p>
              </w:tc>
            </w:tr>
            <w:tr w:rsidR="00AC45C0" w:rsidRPr="00AC45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B II 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Forderungen gegen verbundene Unternehmen;</w:t>
                  </w:r>
                </w:p>
              </w:tc>
            </w:tr>
            <w:tr w:rsidR="00AC45C0" w:rsidRPr="00AC45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B II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Forderungen gegen Unternehmen, mit denen ein Beteiligungsverhältnis besteht;</w:t>
                  </w:r>
                </w:p>
              </w:tc>
            </w:tr>
            <w:tr w:rsidR="00AC45C0" w:rsidRPr="00AC45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B III 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Anteile an verbundenen Unternehmen.</w:t>
                  </w:r>
                </w:p>
              </w:tc>
            </w:tr>
          </w:tbl>
          <w:p w:rsidR="00AC45C0" w:rsidRPr="00AC45C0" w:rsidRDefault="00AC45C0" w:rsidP="00AC4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C45C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  <w:t>Auf der Passivseite</w:t>
            </w:r>
            <w:r w:rsidRPr="00AC45C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br/>
              <w:t> 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0"/>
              <w:gridCol w:w="7602"/>
            </w:tblGrid>
            <w:tr w:rsidR="00AC45C0" w:rsidRPr="00AC45C0">
              <w:trPr>
                <w:tblCellSpacing w:w="15" w:type="dxa"/>
              </w:trPr>
              <w:tc>
                <w:tcPr>
                  <w:tcW w:w="975" w:type="dxa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C 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Anleihen,</w:t>
                  </w: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br/>
                    <w:t>davon konvertibel;</w:t>
                  </w:r>
                </w:p>
              </w:tc>
            </w:tr>
            <w:tr w:rsidR="00AC45C0" w:rsidRPr="00AC45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C 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Verbindlichkeiten gegenüber Kreditinstituten;</w:t>
                  </w:r>
                </w:p>
              </w:tc>
            </w:tr>
            <w:tr w:rsidR="00AC45C0" w:rsidRPr="00AC45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C 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Verbindlichkeiten gegenüber verbundenen Unternehmen;</w:t>
                  </w:r>
                </w:p>
              </w:tc>
            </w:tr>
            <w:tr w:rsidR="00AC45C0" w:rsidRPr="00AC45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C 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C45C0" w:rsidRPr="00AC45C0" w:rsidRDefault="00AC45C0" w:rsidP="00AC4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</w:pPr>
                  <w:r w:rsidRPr="00AC4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de-DE"/>
                    </w:rPr>
                    <w:t>Verbindlichkeiten gegenüber Unternehmen, mit denen ein Beteiligungsverhältnis besteht;</w:t>
                  </w:r>
                </w:p>
              </w:tc>
            </w:tr>
          </w:tbl>
          <w:p w:rsidR="00AC45C0" w:rsidRPr="00AC45C0" w:rsidRDefault="00AC45C0" w:rsidP="00AC4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AC45C0" w:rsidRPr="00AC45C0" w:rsidTr="00AC45C0">
        <w:trPr>
          <w:tblCellSpacing w:w="15" w:type="dxa"/>
        </w:trPr>
        <w:tc>
          <w:tcPr>
            <w:tcW w:w="180" w:type="dxa"/>
            <w:vAlign w:val="center"/>
            <w:hideMark/>
          </w:tcPr>
          <w:p w:rsidR="00AC45C0" w:rsidRPr="00AC45C0" w:rsidRDefault="00AC45C0" w:rsidP="00AC4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:rsidR="00AC45C0" w:rsidRPr="00AC45C0" w:rsidRDefault="00AC45C0" w:rsidP="00AC4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C45C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AC45C0" w:rsidRPr="00AC45C0" w:rsidRDefault="00AC45C0" w:rsidP="00AC4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C45C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den Anhang ohne die Angaben nach § </w:t>
            </w:r>
            <w:hyperlink r:id="rId8" w:history="1">
              <w:r w:rsidRPr="00AC45C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DE"/>
                </w:rPr>
                <w:t>285</w:t>
              </w:r>
            </w:hyperlink>
            <w:r w:rsidRPr="00AC45C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Nr. 2 und 8 Buchstabe a, Nr. 12 beim Betreiber des Bundesanzeigers einreichen dürfen.</w:t>
            </w:r>
          </w:p>
        </w:tc>
      </w:tr>
    </w:tbl>
    <w:p w:rsidR="00AC45C0" w:rsidRPr="00AC45C0" w:rsidRDefault="00AC45C0" w:rsidP="00AC45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45C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Hinweis der Redaktion:</w:t>
      </w:r>
      <w:r w:rsidRPr="00AC45C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:rsidR="00AC45C0" w:rsidRPr="00AC45C0" w:rsidRDefault="00AC45C0" w:rsidP="00AC45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45C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Übergangsvorschriften in Art. </w:t>
      </w:r>
      <w:hyperlink r:id="rId9" w:history="1">
        <w:r w:rsidRPr="00AC45C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66</w:t>
        </w:r>
      </w:hyperlink>
      <w:r w:rsidRPr="00AC45C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EGHGB. </w:t>
      </w:r>
    </w:p>
    <w:p w:rsidR="00AC45C0" w:rsidRPr="00AC45C0" w:rsidRDefault="00AC45C0" w:rsidP="00AC45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C45C0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Fassung aufgrund des Gesetzes zur Änderung von Vorschriften über Verkündung und Bekanntmachungen sowie der Zivilprozessordnung, des Gesetzes betreffend die Einführung der Zivilprozessordnung und der Abgabenordnung vom 22.12.2011 (</w:t>
      </w:r>
      <w:proofErr w:type="spellStart"/>
      <w:r w:rsidRPr="00AC45C0">
        <w:rPr>
          <w:rFonts w:ascii="Times New Roman" w:eastAsia="Times New Roman" w:hAnsi="Times New Roman" w:cs="Times New Roman"/>
          <w:sz w:val="24"/>
          <w:szCs w:val="24"/>
          <w:lang w:eastAsia="de-DE"/>
        </w:rPr>
        <w:fldChar w:fldCharType="begin"/>
      </w:r>
      <w:r w:rsidRPr="00AC45C0">
        <w:rPr>
          <w:rFonts w:ascii="Times New Roman" w:eastAsia="Times New Roman" w:hAnsi="Times New Roman" w:cs="Times New Roman"/>
          <w:sz w:val="24"/>
          <w:szCs w:val="24"/>
          <w:lang w:eastAsia="de-DE"/>
        </w:rPr>
        <w:instrText xml:space="preserve"> HYPERLINK "http://dejure.org/dienste/internet?www.bgblportal.de/BGBL/bgbl1f/bgbl111s3044.pdf" </w:instrText>
      </w:r>
      <w:r w:rsidRPr="00AC45C0">
        <w:rPr>
          <w:rFonts w:ascii="Times New Roman" w:eastAsia="Times New Roman" w:hAnsi="Times New Roman" w:cs="Times New Roman"/>
          <w:sz w:val="24"/>
          <w:szCs w:val="24"/>
          <w:lang w:eastAsia="de-DE"/>
        </w:rPr>
        <w:fldChar w:fldCharType="separate"/>
      </w:r>
      <w:r w:rsidRPr="00AC45C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DE"/>
        </w:rPr>
        <w:t>BGBl</w:t>
      </w:r>
      <w:proofErr w:type="spellEnd"/>
      <w:r w:rsidRPr="00AC45C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DE"/>
        </w:rPr>
        <w:t>. I S. 3044</w:t>
      </w:r>
      <w:r w:rsidRPr="00AC45C0">
        <w:rPr>
          <w:rFonts w:ascii="Times New Roman" w:eastAsia="Times New Roman" w:hAnsi="Times New Roman" w:cs="Times New Roman"/>
          <w:sz w:val="24"/>
          <w:szCs w:val="24"/>
          <w:lang w:eastAsia="de-DE"/>
        </w:rPr>
        <w:fldChar w:fldCharType="end"/>
      </w:r>
      <w:r w:rsidRPr="00AC45C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 </w:t>
      </w:r>
      <w:proofErr w:type="spellStart"/>
      <w:r w:rsidRPr="00AC45C0">
        <w:rPr>
          <w:rFonts w:ascii="Times New Roman" w:eastAsia="Times New Roman" w:hAnsi="Times New Roman" w:cs="Times New Roman"/>
          <w:sz w:val="24"/>
          <w:szCs w:val="24"/>
          <w:lang w:eastAsia="de-DE"/>
        </w:rPr>
        <w:t>m.W.v</w:t>
      </w:r>
      <w:proofErr w:type="spellEnd"/>
      <w:r w:rsidRPr="00AC45C0">
        <w:rPr>
          <w:rFonts w:ascii="Times New Roman" w:eastAsia="Times New Roman" w:hAnsi="Times New Roman" w:cs="Times New Roman"/>
          <w:sz w:val="24"/>
          <w:szCs w:val="24"/>
          <w:lang w:eastAsia="de-DE"/>
        </w:rPr>
        <w:t>. 01.04.2012.</w:t>
      </w:r>
    </w:p>
    <w:p w:rsidR="00AC45C0" w:rsidRDefault="00AC45C0"/>
    <w:sectPr w:rsidR="00AC45C0" w:rsidSect="004D59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45C0"/>
    <w:rsid w:val="0012634A"/>
    <w:rsid w:val="00196583"/>
    <w:rsid w:val="001D20B3"/>
    <w:rsid w:val="00341919"/>
    <w:rsid w:val="004D59D2"/>
    <w:rsid w:val="005E2517"/>
    <w:rsid w:val="008E1953"/>
    <w:rsid w:val="00966ACF"/>
    <w:rsid w:val="00AC45C0"/>
    <w:rsid w:val="00ED3A27"/>
    <w:rsid w:val="00ED79AD"/>
    <w:rsid w:val="00F8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59D2"/>
  </w:style>
  <w:style w:type="paragraph" w:styleId="berschrift3">
    <w:name w:val="heading 3"/>
    <w:basedOn w:val="Standard"/>
    <w:link w:val="berschrift3Zchn"/>
    <w:uiPriority w:val="9"/>
    <w:qFormat/>
    <w:rsid w:val="00AC45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AC45C0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AC4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AC45C0"/>
    <w:rPr>
      <w:color w:val="0000FF"/>
      <w:u w:val="single"/>
    </w:rPr>
  </w:style>
  <w:style w:type="paragraph" w:customStyle="1" w:styleId="hinweistext">
    <w:name w:val="hinweistext"/>
    <w:basedOn w:val="Standard"/>
    <w:rsid w:val="00AC4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7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271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jure.org/gesetze/HGB/28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ejure.org/gesetze/HGB/26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jure.org/gesetze/HGB/266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ejure.org/gesetze/HGB/325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dejure.org/gesetze/HGB/267.html" TargetMode="External"/><Relationship Id="rId9" Type="http://schemas.openxmlformats.org/officeDocument/2006/relationships/hyperlink" Target="http://dejure.org/gesetze/EGHGB/66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Mue7</dc:creator>
  <cp:lastModifiedBy>Mue7</cp:lastModifiedBy>
  <cp:revision>1</cp:revision>
  <dcterms:created xsi:type="dcterms:W3CDTF">2016-01-14T12:02:00Z</dcterms:created>
  <dcterms:modified xsi:type="dcterms:W3CDTF">2016-01-14T12:03:00Z</dcterms:modified>
</cp:coreProperties>
</file>