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9D2" w:rsidRDefault="009927DB">
      <w:r>
        <w:fldChar w:fldCharType="begin"/>
      </w:r>
      <w:r>
        <w:instrText xml:space="preserve"> HYPERLINK "</w:instrText>
      </w:r>
      <w:r w:rsidRPr="009927DB">
        <w:instrText>http://dejure.org/gesetze/HGB/28</w:instrText>
      </w:r>
      <w:r>
        <w:instrText>4</w:instrText>
      </w:r>
      <w:r w:rsidRPr="009927DB">
        <w:instrText>.html</w:instrText>
      </w:r>
      <w:r>
        <w:instrText xml:space="preserve">" </w:instrText>
      </w:r>
      <w:r>
        <w:fldChar w:fldCharType="separate"/>
      </w:r>
      <w:r w:rsidRPr="00AF7793">
        <w:rPr>
          <w:rStyle w:val="Hyperlink"/>
        </w:rPr>
        <w:t>http://dejure.org/gesetze/HGB/284.html</w:t>
      </w:r>
      <w:r>
        <w:fldChar w:fldCharType="end"/>
      </w:r>
    </w:p>
    <w:p w:rsidR="009927DB" w:rsidRDefault="009927DB" w:rsidP="009927DB">
      <w:pPr>
        <w:pStyle w:val="berschrift3"/>
      </w:pPr>
      <w:r>
        <w:t>§ 284_Erläuterung der Bilanz und der Gewinn- und Verlustrechnung</w:t>
      </w:r>
    </w:p>
    <w:p w:rsidR="009927DB" w:rsidRDefault="009927DB" w:rsidP="009927DB">
      <w:pPr>
        <w:pStyle w:val="StandardWeb"/>
      </w:pPr>
      <w:r>
        <w:t>(1) In den Anhang sind diejenigen Angaben aufzunehmen, die zu den einzelnen Posten der Bilanz oder der Gewinn- und Verlustrechnung vorgeschrieben sind; sie sind in der Reihenfolge der einzelnen Posten der Bilanz und der Gewinn- und Verlustrechnung darzustellen. Im Anhang sind auch die Angaben zu machen, die in Ausübung eines Wahlrechts nicht in die Bilanz oder in die Gewinn- und Verlustrechnung aufgenommen wurden.</w:t>
      </w:r>
    </w:p>
    <w:p w:rsidR="009927DB" w:rsidRDefault="009927DB" w:rsidP="009927DB">
      <w:pPr>
        <w:pStyle w:val="StandardWeb"/>
      </w:pPr>
      <w:r>
        <w:t>(2) Im Anhang müssen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"/>
        <w:gridCol w:w="228"/>
        <w:gridCol w:w="8709"/>
      </w:tblGrid>
      <w:tr w:rsidR="009927DB" w:rsidTr="009927DB">
        <w:trPr>
          <w:tblCellSpacing w:w="15" w:type="dxa"/>
        </w:trPr>
        <w:tc>
          <w:tcPr>
            <w:tcW w:w="180" w:type="dxa"/>
            <w:vAlign w:val="center"/>
            <w:hideMark/>
          </w:tcPr>
          <w:p w:rsidR="009927DB" w:rsidRDefault="009927D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27DB" w:rsidRDefault="009927DB">
            <w:pPr>
              <w:rPr>
                <w:sz w:val="24"/>
                <w:szCs w:val="24"/>
              </w:rPr>
            </w:pPr>
            <w:r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9927DB" w:rsidRDefault="009927DB">
            <w:pPr>
              <w:rPr>
                <w:sz w:val="24"/>
                <w:szCs w:val="24"/>
              </w:rPr>
            </w:pPr>
            <w:r>
              <w:t>die auf die Posten der Bilanz und der Gewinn- und Verlustrechnung angewandten Bilanzierungs- und Bewertungsmethoden angegeben werden;</w:t>
            </w:r>
          </w:p>
        </w:tc>
      </w:tr>
      <w:tr w:rsidR="009927DB" w:rsidTr="009927DB">
        <w:trPr>
          <w:tblCellSpacing w:w="15" w:type="dxa"/>
        </w:trPr>
        <w:tc>
          <w:tcPr>
            <w:tcW w:w="180" w:type="dxa"/>
            <w:vAlign w:val="center"/>
            <w:hideMark/>
          </w:tcPr>
          <w:p w:rsidR="009927DB" w:rsidRDefault="009927D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27DB" w:rsidRDefault="009927DB">
            <w:pPr>
              <w:rPr>
                <w:sz w:val="24"/>
                <w:szCs w:val="24"/>
              </w:rPr>
            </w:pPr>
            <w:r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9927DB" w:rsidRDefault="009927DB">
            <w:pPr>
              <w:rPr>
                <w:sz w:val="24"/>
                <w:szCs w:val="24"/>
              </w:rPr>
            </w:pPr>
            <w:r>
              <w:t xml:space="preserve">Abweichungen von Bilanzierungs- und Bewertungsmethoden angegeben und begründet werden; deren </w:t>
            </w:r>
            <w:proofErr w:type="spellStart"/>
            <w:r>
              <w:t>Einfluß</w:t>
            </w:r>
            <w:proofErr w:type="spellEnd"/>
            <w:r>
              <w:t xml:space="preserve"> auf die Vermögens-, Finanz- und Ertragslage ist gesondert darzustellen;</w:t>
            </w:r>
          </w:p>
        </w:tc>
      </w:tr>
      <w:tr w:rsidR="009927DB" w:rsidTr="009927DB">
        <w:trPr>
          <w:tblCellSpacing w:w="15" w:type="dxa"/>
        </w:trPr>
        <w:tc>
          <w:tcPr>
            <w:tcW w:w="180" w:type="dxa"/>
            <w:vAlign w:val="center"/>
            <w:hideMark/>
          </w:tcPr>
          <w:p w:rsidR="009927DB" w:rsidRDefault="009927D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27DB" w:rsidRDefault="009927DB">
            <w:pPr>
              <w:rPr>
                <w:sz w:val="24"/>
                <w:szCs w:val="24"/>
              </w:rPr>
            </w:pPr>
            <w:r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9927DB" w:rsidRDefault="009927DB">
            <w:pPr>
              <w:rPr>
                <w:sz w:val="24"/>
                <w:szCs w:val="24"/>
              </w:rPr>
            </w:pPr>
            <w:r>
              <w:t xml:space="preserve">bei Anwendung einer Bewertungsmethode nach § </w:t>
            </w:r>
            <w:hyperlink r:id="rId4" w:history="1">
              <w:r>
                <w:rPr>
                  <w:rStyle w:val="Hyperlink"/>
                </w:rPr>
                <w:t>240</w:t>
              </w:r>
            </w:hyperlink>
            <w:r>
              <w:t xml:space="preserve"> Abs. 4, § </w:t>
            </w:r>
            <w:hyperlink r:id="rId5" w:history="1">
              <w:r>
                <w:rPr>
                  <w:rStyle w:val="Hyperlink"/>
                </w:rPr>
                <w:t>256</w:t>
              </w:r>
            </w:hyperlink>
            <w:r>
              <w:t xml:space="preserve"> Satz 1 die Unterschiedsbeträge pauschal für die jeweilige Gruppe ausgewiesen werden, wenn die Bewertung im Vergleich zu einer Bewertung auf der Grundlage des letzten vor dem </w:t>
            </w:r>
            <w:proofErr w:type="spellStart"/>
            <w:r>
              <w:t>Abschlußstichtag</w:t>
            </w:r>
            <w:proofErr w:type="spellEnd"/>
            <w:r>
              <w:t xml:space="preserve"> bekannten Börsenkurses oder Marktpreises einen erheblichen Unterschied aufweist;</w:t>
            </w:r>
          </w:p>
        </w:tc>
      </w:tr>
      <w:tr w:rsidR="009927DB" w:rsidTr="009927DB">
        <w:trPr>
          <w:tblCellSpacing w:w="15" w:type="dxa"/>
        </w:trPr>
        <w:tc>
          <w:tcPr>
            <w:tcW w:w="180" w:type="dxa"/>
            <w:vAlign w:val="center"/>
            <w:hideMark/>
          </w:tcPr>
          <w:p w:rsidR="009927DB" w:rsidRDefault="009927D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27DB" w:rsidRDefault="009927DB">
            <w:pPr>
              <w:rPr>
                <w:sz w:val="24"/>
                <w:szCs w:val="24"/>
              </w:rPr>
            </w:pPr>
            <w:r>
              <w:t xml:space="preserve">4. </w:t>
            </w:r>
          </w:p>
        </w:tc>
        <w:tc>
          <w:tcPr>
            <w:tcW w:w="0" w:type="auto"/>
            <w:vAlign w:val="center"/>
            <w:hideMark/>
          </w:tcPr>
          <w:p w:rsidR="009927DB" w:rsidRDefault="009927DB">
            <w:pPr>
              <w:rPr>
                <w:sz w:val="24"/>
                <w:szCs w:val="24"/>
              </w:rPr>
            </w:pPr>
            <w:r>
              <w:t>Angaben über die Einbeziehung von Zinsen für Fremdkapital in die Herstellungskosten gemacht werden.</w:t>
            </w:r>
          </w:p>
        </w:tc>
      </w:tr>
    </w:tbl>
    <w:p w:rsidR="009927DB" w:rsidRDefault="009927DB" w:rsidP="009927DB">
      <w:pPr>
        <w:pStyle w:val="StandardWeb"/>
      </w:pPr>
      <w:r>
        <w:t>(3) Im Anhang ist die Entwicklung der einzelnen Posten des Anlagevermögens in einer gesonderten Aufgliederung darzustellen. Dabei sind, ausgehend von den gesamten Anschaffungs- und Herstellungskosten, die Zugänge, Abgänge, Umbuchungen und Zuschreibungen des Geschäftsjahrs sowie die Abschreibungen gesondert aufzuführen. Zu den Abschreibungen sind gesondert folgende Angaben zu machen: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"/>
        <w:gridCol w:w="228"/>
        <w:gridCol w:w="8709"/>
      </w:tblGrid>
      <w:tr w:rsidR="009927DB" w:rsidTr="009927DB">
        <w:trPr>
          <w:tblCellSpacing w:w="15" w:type="dxa"/>
        </w:trPr>
        <w:tc>
          <w:tcPr>
            <w:tcW w:w="180" w:type="dxa"/>
            <w:vAlign w:val="center"/>
            <w:hideMark/>
          </w:tcPr>
          <w:p w:rsidR="009927DB" w:rsidRDefault="009927D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27DB" w:rsidRDefault="009927DB">
            <w:pPr>
              <w:rPr>
                <w:sz w:val="24"/>
                <w:szCs w:val="24"/>
              </w:rPr>
            </w:pPr>
            <w:r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9927DB" w:rsidRDefault="009927DB">
            <w:pPr>
              <w:rPr>
                <w:sz w:val="24"/>
                <w:szCs w:val="24"/>
              </w:rPr>
            </w:pPr>
            <w:r>
              <w:t>die Abschreibungen in ihrer gesamten Höhe zu Beginn und Ende des Geschäftsjahrs,</w:t>
            </w:r>
          </w:p>
        </w:tc>
      </w:tr>
      <w:tr w:rsidR="009927DB" w:rsidTr="009927DB">
        <w:trPr>
          <w:tblCellSpacing w:w="15" w:type="dxa"/>
        </w:trPr>
        <w:tc>
          <w:tcPr>
            <w:tcW w:w="180" w:type="dxa"/>
            <w:vAlign w:val="center"/>
            <w:hideMark/>
          </w:tcPr>
          <w:p w:rsidR="009927DB" w:rsidRDefault="009927D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27DB" w:rsidRDefault="009927DB">
            <w:pPr>
              <w:rPr>
                <w:sz w:val="24"/>
                <w:szCs w:val="24"/>
              </w:rPr>
            </w:pPr>
            <w:r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9927DB" w:rsidRDefault="009927DB">
            <w:pPr>
              <w:rPr>
                <w:sz w:val="24"/>
                <w:szCs w:val="24"/>
              </w:rPr>
            </w:pPr>
            <w:r>
              <w:t>die im Laufe des Geschäftsjahrs vorgenommenen Abschreibungen und</w:t>
            </w:r>
          </w:p>
        </w:tc>
      </w:tr>
      <w:tr w:rsidR="009927DB" w:rsidTr="009927DB">
        <w:trPr>
          <w:tblCellSpacing w:w="15" w:type="dxa"/>
        </w:trPr>
        <w:tc>
          <w:tcPr>
            <w:tcW w:w="180" w:type="dxa"/>
            <w:vAlign w:val="center"/>
            <w:hideMark/>
          </w:tcPr>
          <w:p w:rsidR="009927DB" w:rsidRDefault="009927D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27DB" w:rsidRDefault="009927DB">
            <w:pPr>
              <w:rPr>
                <w:sz w:val="24"/>
                <w:szCs w:val="24"/>
              </w:rPr>
            </w:pPr>
            <w:r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9927DB" w:rsidRDefault="009927DB">
            <w:pPr>
              <w:rPr>
                <w:sz w:val="24"/>
                <w:szCs w:val="24"/>
              </w:rPr>
            </w:pPr>
            <w:r>
              <w:t>Änderungen in den Abschreibungen in ihrer gesamten Höhe im Zusammenhang mit Zu- und Abgängen sowie Umbuchungen im Laufe des Geschäftsjahrs.</w:t>
            </w:r>
          </w:p>
        </w:tc>
      </w:tr>
    </w:tbl>
    <w:p w:rsidR="009927DB" w:rsidRDefault="009927DB" w:rsidP="009927DB">
      <w:pPr>
        <w:pStyle w:val="StandardWeb"/>
      </w:pPr>
      <w:r>
        <w:t>Sind in die Herstellungskosten Zinsen für Fremdkapital einbezogen worden, ist für jeden Posten des Anlagevermögens anzugeben, welcher Betrag an Zinsen im Geschäftsjahr aktiviert worden ist.</w:t>
      </w:r>
    </w:p>
    <w:p w:rsidR="009927DB" w:rsidRDefault="009927DB" w:rsidP="009927DB">
      <w:pPr>
        <w:rPr>
          <w:b/>
          <w:bCs/>
        </w:rPr>
      </w:pPr>
    </w:p>
    <w:p w:rsidR="009927DB" w:rsidRDefault="009927DB" w:rsidP="009927DB">
      <w:r>
        <w:rPr>
          <w:b/>
          <w:bCs/>
        </w:rPr>
        <w:lastRenderedPageBreak/>
        <w:t>Hinweis der Redaktion:</w:t>
      </w:r>
      <w:r>
        <w:t xml:space="preserve"> </w:t>
      </w:r>
    </w:p>
    <w:p w:rsidR="009927DB" w:rsidRDefault="009927DB" w:rsidP="009927DB">
      <w:pPr>
        <w:pStyle w:val="StandardWeb"/>
      </w:pPr>
      <w:r>
        <w:t xml:space="preserve">Übergangsvorschriften in Art. </w:t>
      </w:r>
      <w:hyperlink r:id="rId6" w:history="1">
        <w:r>
          <w:rPr>
            <w:rStyle w:val="Hyperlink"/>
          </w:rPr>
          <w:t>67</w:t>
        </w:r>
      </w:hyperlink>
      <w:r>
        <w:t xml:space="preserve"> EGHGB. </w:t>
      </w:r>
    </w:p>
    <w:p w:rsidR="009927DB" w:rsidRDefault="009927DB" w:rsidP="009927DB">
      <w:pPr>
        <w:pStyle w:val="hinweistext"/>
      </w:pPr>
      <w:r>
        <w:t xml:space="preserve">Fassung aufgrund des Gesetzes zur Umsetzung der Richtlinie 2013/34/EU des Europäischen Parlaments und des Rates vom 26. Juni 2013 über den Jahresabschluss, den konsolidierten Abschluss und damit verbundene Berichte von Unternehmen bestimmter Rechtsformen und zur Änderung der Richtlinie 2006/43/EG des Europäischen Parlaments und des Rates und zur Aufhebung der Richtlinien 78/660/EWG und 83/349/EWG des Rates (Bilanzrichtlinie-Umsetzungsgesetz - </w:t>
      </w:r>
      <w:proofErr w:type="spellStart"/>
      <w:r>
        <w:t>BilRUG</w:t>
      </w:r>
      <w:proofErr w:type="spellEnd"/>
      <w:r>
        <w:t>) vom 17.07.2015 (</w:t>
      </w:r>
      <w:proofErr w:type="spellStart"/>
      <w:r>
        <w:fldChar w:fldCharType="begin"/>
      </w:r>
      <w:r>
        <w:instrText xml:space="preserve"> HYPERLINK "http://dejure.org/dienste/internet?www.bgblportal.de/BGBL/bgbl1f/bgbl115s1245.pdf" </w:instrText>
      </w:r>
      <w:r>
        <w:fldChar w:fldCharType="separate"/>
      </w:r>
      <w:r>
        <w:rPr>
          <w:rStyle w:val="Hyperlink"/>
        </w:rPr>
        <w:t>BGBl</w:t>
      </w:r>
      <w:proofErr w:type="spellEnd"/>
      <w:r>
        <w:rPr>
          <w:rStyle w:val="Hyperlink"/>
        </w:rPr>
        <w:t>. I S. 1245</w:t>
      </w:r>
      <w:r>
        <w:fldChar w:fldCharType="end"/>
      </w:r>
      <w:r>
        <w:t xml:space="preserve">) </w:t>
      </w:r>
      <w:proofErr w:type="spellStart"/>
      <w:r>
        <w:t>m.W.v</w:t>
      </w:r>
      <w:proofErr w:type="spellEnd"/>
      <w:r>
        <w:t>. 23.07.2015.</w:t>
      </w:r>
    </w:p>
    <w:p w:rsidR="009927DB" w:rsidRDefault="009927DB"/>
    <w:sectPr w:rsidR="009927DB" w:rsidSect="004D59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27DB"/>
    <w:rsid w:val="00070606"/>
    <w:rsid w:val="0012634A"/>
    <w:rsid w:val="00196583"/>
    <w:rsid w:val="001D20B3"/>
    <w:rsid w:val="004D59D2"/>
    <w:rsid w:val="005E2517"/>
    <w:rsid w:val="008E1953"/>
    <w:rsid w:val="00966ACF"/>
    <w:rsid w:val="009927DB"/>
    <w:rsid w:val="00ED3A27"/>
    <w:rsid w:val="00ED79AD"/>
    <w:rsid w:val="00F8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59D2"/>
  </w:style>
  <w:style w:type="paragraph" w:styleId="berschrift3">
    <w:name w:val="heading 3"/>
    <w:basedOn w:val="Standard"/>
    <w:link w:val="berschrift3Zchn"/>
    <w:uiPriority w:val="9"/>
    <w:qFormat/>
    <w:rsid w:val="009927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927DB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927D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992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inweistext">
    <w:name w:val="hinweistext"/>
    <w:basedOn w:val="Standard"/>
    <w:rsid w:val="00992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6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8917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ejure.org/gesetze/EGHGB/67.html" TargetMode="External"/><Relationship Id="rId5" Type="http://schemas.openxmlformats.org/officeDocument/2006/relationships/hyperlink" Target="http://dejure.org/gesetze/HGB/256.html" TargetMode="External"/><Relationship Id="rId4" Type="http://schemas.openxmlformats.org/officeDocument/2006/relationships/hyperlink" Target="http://dejure.org/gesetze/HGB/240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2660</Characters>
  <Application>Microsoft Office Word</Application>
  <DocSecurity>0</DocSecurity>
  <Lines>22</Lines>
  <Paragraphs>6</Paragraphs>
  <ScaleCrop>false</ScaleCrop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Mue7</dc:creator>
  <cp:lastModifiedBy>Mue7</cp:lastModifiedBy>
  <cp:revision>1</cp:revision>
  <dcterms:created xsi:type="dcterms:W3CDTF">2016-01-14T11:50:00Z</dcterms:created>
  <dcterms:modified xsi:type="dcterms:W3CDTF">2016-01-14T11:51:00Z</dcterms:modified>
</cp:coreProperties>
</file>