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59D2" w:rsidRDefault="00921771">
      <w:r>
        <w:fldChar w:fldCharType="begin"/>
      </w:r>
      <w:r>
        <w:instrText xml:space="preserve"> HYPERLINK "</w:instrText>
      </w:r>
      <w:r w:rsidRPr="00921771">
        <w:instrText>http://www.gesetze-im-internet.de/estg/__6.html</w:instrText>
      </w:r>
      <w:r>
        <w:instrText xml:space="preserve">" </w:instrText>
      </w:r>
      <w:r>
        <w:fldChar w:fldCharType="separate"/>
      </w:r>
      <w:r w:rsidRPr="00C32802">
        <w:rPr>
          <w:rStyle w:val="Hyperlink"/>
        </w:rPr>
        <w:t>http://www.gesetze-im-internet.de/estg/__6.html</w:t>
      </w:r>
      <w:r>
        <w:fldChar w:fldCharType="end"/>
      </w:r>
    </w:p>
    <w:p w:rsidR="00921771" w:rsidRPr="00921771" w:rsidRDefault="00921771" w:rsidP="00921771">
      <w:pPr>
        <w:spacing w:before="100" w:beforeAutospacing="1" w:after="100" w:afterAutospacing="1" w:line="240" w:lineRule="auto"/>
        <w:outlineLvl w:val="0"/>
        <w:rPr>
          <w:rFonts w:ascii="Times New Roman" w:eastAsia="Times New Roman" w:hAnsi="Times New Roman" w:cs="Times New Roman"/>
          <w:b/>
          <w:bCs/>
          <w:kern w:val="36"/>
          <w:sz w:val="48"/>
          <w:szCs w:val="48"/>
          <w:lang w:eastAsia="de-DE"/>
        </w:rPr>
      </w:pPr>
      <w:r w:rsidRPr="00921771">
        <w:rPr>
          <w:rFonts w:ascii="Times New Roman" w:eastAsia="Times New Roman" w:hAnsi="Times New Roman" w:cs="Times New Roman"/>
          <w:b/>
          <w:bCs/>
          <w:kern w:val="36"/>
          <w:sz w:val="48"/>
          <w:szCs w:val="48"/>
          <w:lang w:eastAsia="de-DE"/>
        </w:rPr>
        <w:t>Einkommensteuergesetz (EStG)</w:t>
      </w:r>
      <w:r w:rsidRPr="00921771">
        <w:rPr>
          <w:rFonts w:ascii="Times New Roman" w:eastAsia="Times New Roman" w:hAnsi="Times New Roman" w:cs="Times New Roman"/>
          <w:b/>
          <w:bCs/>
          <w:kern w:val="36"/>
          <w:sz w:val="48"/>
          <w:szCs w:val="48"/>
          <w:lang w:eastAsia="de-DE"/>
        </w:rPr>
        <w:br/>
        <w:t>§ 6 Bewertung</w:t>
      </w:r>
    </w:p>
    <w:p w:rsidR="00921771" w:rsidRPr="00921771" w:rsidRDefault="00921771" w:rsidP="00921771">
      <w:pPr>
        <w:spacing w:after="0" w:line="240" w:lineRule="auto"/>
        <w:rPr>
          <w:rFonts w:ascii="Times New Roman" w:eastAsia="Times New Roman" w:hAnsi="Times New Roman" w:cs="Times New Roman"/>
          <w:sz w:val="24"/>
          <w:szCs w:val="24"/>
          <w:lang w:eastAsia="de-DE"/>
        </w:rPr>
      </w:pPr>
      <w:r w:rsidRPr="00921771">
        <w:rPr>
          <w:rFonts w:ascii="Times New Roman" w:eastAsia="Times New Roman" w:hAnsi="Times New Roman" w:cs="Times New Roman"/>
          <w:sz w:val="24"/>
          <w:szCs w:val="24"/>
          <w:lang w:eastAsia="de-DE"/>
        </w:rPr>
        <w:t xml:space="preserve">(1) Für die Bewertung der einzelnen Wirtschaftsgüter, die nach § 4 Absatz 1 oder nach § 5 als Betriebsvermögen anzusetzen sind, gilt das Folgende: </w:t>
      </w:r>
    </w:p>
    <w:p w:rsidR="00921771" w:rsidRPr="00921771" w:rsidRDefault="00921771" w:rsidP="00921771">
      <w:pPr>
        <w:spacing w:after="0" w:line="240" w:lineRule="auto"/>
        <w:rPr>
          <w:rFonts w:ascii="Times New Roman" w:eastAsia="Times New Roman" w:hAnsi="Times New Roman" w:cs="Times New Roman"/>
          <w:sz w:val="24"/>
          <w:szCs w:val="24"/>
          <w:lang w:eastAsia="de-DE"/>
        </w:rPr>
      </w:pPr>
      <w:r w:rsidRPr="00921771">
        <w:rPr>
          <w:rFonts w:ascii="Times New Roman" w:eastAsia="Times New Roman" w:hAnsi="Times New Roman" w:cs="Times New Roman"/>
          <w:sz w:val="24"/>
          <w:szCs w:val="24"/>
          <w:lang w:eastAsia="de-DE"/>
        </w:rPr>
        <w:t>1.</w:t>
      </w:r>
    </w:p>
    <w:p w:rsidR="00921771" w:rsidRPr="00921771" w:rsidRDefault="00921771" w:rsidP="00921771">
      <w:pPr>
        <w:spacing w:after="0" w:line="240" w:lineRule="auto"/>
        <w:ind w:left="720"/>
        <w:rPr>
          <w:rFonts w:ascii="Times New Roman" w:eastAsia="Times New Roman" w:hAnsi="Times New Roman" w:cs="Times New Roman"/>
          <w:sz w:val="24"/>
          <w:szCs w:val="24"/>
          <w:lang w:eastAsia="de-DE"/>
        </w:rPr>
      </w:pPr>
      <w:r w:rsidRPr="00921771">
        <w:rPr>
          <w:rFonts w:ascii="Times New Roman" w:eastAsia="Times New Roman" w:hAnsi="Times New Roman" w:cs="Times New Roman"/>
          <w:sz w:val="24"/>
          <w:szCs w:val="24"/>
          <w:lang w:eastAsia="de-DE"/>
        </w:rPr>
        <w:t xml:space="preserve">Wirtschaftsgüter des Anlagevermögens, die der Abnutzung unterliegen, sind mit den Anschaffungs- oder Herstellungskosten oder dem an deren Stelle tretenden Wert, vermindert um die Absetzungen für Abnutzung, erhöhte Absetzungen, Sonderabschreibungen, Abzüge nach § 6b und ähnliche Abzüge, anzusetzen. </w:t>
      </w:r>
      <w:r w:rsidRPr="00921771">
        <w:rPr>
          <w:rFonts w:ascii="Times New Roman" w:eastAsia="Times New Roman" w:hAnsi="Times New Roman" w:cs="Times New Roman"/>
          <w:sz w:val="24"/>
          <w:szCs w:val="24"/>
          <w:vertAlign w:val="superscript"/>
          <w:lang w:eastAsia="de-DE"/>
        </w:rPr>
        <w:t>2</w:t>
      </w:r>
      <w:r w:rsidRPr="00921771">
        <w:rPr>
          <w:rFonts w:ascii="Times New Roman" w:eastAsia="Times New Roman" w:hAnsi="Times New Roman" w:cs="Times New Roman"/>
          <w:sz w:val="24"/>
          <w:szCs w:val="24"/>
          <w:lang w:eastAsia="de-DE"/>
        </w:rPr>
        <w:t xml:space="preserve">Ist der Teilwert auf Grund einer voraussichtlich dauernden Wertminderung niedriger, so kann dieser angesetzt werden. </w:t>
      </w:r>
      <w:r w:rsidRPr="00921771">
        <w:rPr>
          <w:rFonts w:ascii="Times New Roman" w:eastAsia="Times New Roman" w:hAnsi="Times New Roman" w:cs="Times New Roman"/>
          <w:sz w:val="24"/>
          <w:szCs w:val="24"/>
          <w:vertAlign w:val="superscript"/>
          <w:lang w:eastAsia="de-DE"/>
        </w:rPr>
        <w:t>3</w:t>
      </w:r>
      <w:r w:rsidRPr="00921771">
        <w:rPr>
          <w:rFonts w:ascii="Times New Roman" w:eastAsia="Times New Roman" w:hAnsi="Times New Roman" w:cs="Times New Roman"/>
          <w:sz w:val="24"/>
          <w:szCs w:val="24"/>
          <w:lang w:eastAsia="de-DE"/>
        </w:rPr>
        <w:t xml:space="preserve">Teilwert ist der Betrag, den ein Erwerber des ganzen Betriebs im Rahmen des Gesamtkaufpreises für das einzelne Wirtschaftsgut ansetzen würde; dabei ist davon auszugehen, dass der Erwerber den Betrieb fortführt. </w:t>
      </w:r>
      <w:r w:rsidRPr="00921771">
        <w:rPr>
          <w:rFonts w:ascii="Times New Roman" w:eastAsia="Times New Roman" w:hAnsi="Times New Roman" w:cs="Times New Roman"/>
          <w:sz w:val="24"/>
          <w:szCs w:val="24"/>
          <w:vertAlign w:val="superscript"/>
          <w:lang w:eastAsia="de-DE"/>
        </w:rPr>
        <w:t>4</w:t>
      </w:r>
      <w:r w:rsidRPr="00921771">
        <w:rPr>
          <w:rFonts w:ascii="Times New Roman" w:eastAsia="Times New Roman" w:hAnsi="Times New Roman" w:cs="Times New Roman"/>
          <w:sz w:val="24"/>
          <w:szCs w:val="24"/>
          <w:lang w:eastAsia="de-DE"/>
        </w:rPr>
        <w:t>Wirtschaftsgüter, die bereits am Schluss des vorangegangenen Wirtschaftsjahres zum Anlagevermögen des Steuerpflichtigen gehört haben, sind in den folgenden Wirtschaftsjahren gemäß Satz 1 anzusetzen, es sei denn, der Steuerpflichtige weist nach, dass ein niedrigerer Teilwert nach Satz 2 angesetzt werden kann.</w:t>
      </w:r>
    </w:p>
    <w:p w:rsidR="00921771" w:rsidRPr="00921771" w:rsidRDefault="00921771" w:rsidP="00921771">
      <w:pPr>
        <w:spacing w:after="0" w:line="240" w:lineRule="auto"/>
        <w:rPr>
          <w:rFonts w:ascii="Times New Roman" w:eastAsia="Times New Roman" w:hAnsi="Times New Roman" w:cs="Times New Roman"/>
          <w:sz w:val="24"/>
          <w:szCs w:val="24"/>
          <w:lang w:eastAsia="de-DE"/>
        </w:rPr>
      </w:pPr>
      <w:r w:rsidRPr="00921771">
        <w:rPr>
          <w:rFonts w:ascii="Times New Roman" w:eastAsia="Times New Roman" w:hAnsi="Times New Roman" w:cs="Times New Roman"/>
          <w:sz w:val="24"/>
          <w:szCs w:val="24"/>
          <w:lang w:eastAsia="de-DE"/>
        </w:rPr>
        <w:t>1a.</w:t>
      </w:r>
    </w:p>
    <w:p w:rsidR="00921771" w:rsidRPr="00921771" w:rsidRDefault="00921771" w:rsidP="00921771">
      <w:pPr>
        <w:spacing w:after="0" w:line="240" w:lineRule="auto"/>
        <w:ind w:left="720"/>
        <w:rPr>
          <w:rFonts w:ascii="Times New Roman" w:eastAsia="Times New Roman" w:hAnsi="Times New Roman" w:cs="Times New Roman"/>
          <w:sz w:val="24"/>
          <w:szCs w:val="24"/>
          <w:lang w:eastAsia="de-DE"/>
        </w:rPr>
      </w:pPr>
      <w:r w:rsidRPr="00921771">
        <w:rPr>
          <w:rFonts w:ascii="Times New Roman" w:eastAsia="Times New Roman" w:hAnsi="Times New Roman" w:cs="Times New Roman"/>
          <w:sz w:val="24"/>
          <w:szCs w:val="24"/>
          <w:lang w:eastAsia="de-DE"/>
        </w:rPr>
        <w:t xml:space="preserve">Zu den Herstellungskosten eines Gebäudes gehören auch Aufwendungen für Instandsetzungs- und Modernisierungsmaßnahmen, die innerhalb von drei Jahren nach der Anschaffung des Gebäudes durchgeführt werden, wenn die Aufwendungen ohne die Umsatzsteuer 15 Prozent der Anschaffungskosten des Gebäudes übersteigen (anschaffungsnahe Herstellungskosten). </w:t>
      </w:r>
      <w:r w:rsidRPr="00921771">
        <w:rPr>
          <w:rFonts w:ascii="Times New Roman" w:eastAsia="Times New Roman" w:hAnsi="Times New Roman" w:cs="Times New Roman"/>
          <w:sz w:val="24"/>
          <w:szCs w:val="24"/>
          <w:vertAlign w:val="superscript"/>
          <w:lang w:eastAsia="de-DE"/>
        </w:rPr>
        <w:t>2</w:t>
      </w:r>
      <w:r w:rsidRPr="00921771">
        <w:rPr>
          <w:rFonts w:ascii="Times New Roman" w:eastAsia="Times New Roman" w:hAnsi="Times New Roman" w:cs="Times New Roman"/>
          <w:sz w:val="24"/>
          <w:szCs w:val="24"/>
          <w:lang w:eastAsia="de-DE"/>
        </w:rPr>
        <w:t>Zu diesen Aufwendungen gehören nicht die Aufwendungen für Erweiterungen im Sinne des § 255 Absatz 2 Satz 1 des Handelsgesetzbuchs sowie Aufwendungen für Erhaltungsarbeiten, die jährlich üblicherweise anfallen.</w:t>
      </w:r>
    </w:p>
    <w:p w:rsidR="00921771" w:rsidRPr="00921771" w:rsidRDefault="00921771" w:rsidP="00921771">
      <w:pPr>
        <w:spacing w:after="0" w:line="240" w:lineRule="auto"/>
        <w:rPr>
          <w:rFonts w:ascii="Times New Roman" w:eastAsia="Times New Roman" w:hAnsi="Times New Roman" w:cs="Times New Roman"/>
          <w:sz w:val="24"/>
          <w:szCs w:val="24"/>
          <w:lang w:eastAsia="de-DE"/>
        </w:rPr>
      </w:pPr>
      <w:r w:rsidRPr="00921771">
        <w:rPr>
          <w:rFonts w:ascii="Times New Roman" w:eastAsia="Times New Roman" w:hAnsi="Times New Roman" w:cs="Times New Roman"/>
          <w:sz w:val="24"/>
          <w:szCs w:val="24"/>
          <w:lang w:eastAsia="de-DE"/>
        </w:rPr>
        <w:t>2.</w:t>
      </w:r>
    </w:p>
    <w:p w:rsidR="00921771" w:rsidRPr="00921771" w:rsidRDefault="00921771" w:rsidP="00921771">
      <w:pPr>
        <w:spacing w:after="0" w:line="240" w:lineRule="auto"/>
        <w:ind w:left="720"/>
        <w:rPr>
          <w:rFonts w:ascii="Times New Roman" w:eastAsia="Times New Roman" w:hAnsi="Times New Roman" w:cs="Times New Roman"/>
          <w:sz w:val="24"/>
          <w:szCs w:val="24"/>
          <w:lang w:eastAsia="de-DE"/>
        </w:rPr>
      </w:pPr>
      <w:r w:rsidRPr="00921771">
        <w:rPr>
          <w:rFonts w:ascii="Times New Roman" w:eastAsia="Times New Roman" w:hAnsi="Times New Roman" w:cs="Times New Roman"/>
          <w:sz w:val="24"/>
          <w:szCs w:val="24"/>
          <w:lang w:eastAsia="de-DE"/>
        </w:rPr>
        <w:t xml:space="preserve">Andere als die in Nummer 1 bezeichneten Wirtschaftsgüter des Betriebs (Grund und Boden, Beteiligungen, Umlaufvermögen) sind mit den Anschaffungs- oder Herstellungskosten oder dem an deren Stelle tretenden Wert, vermindert um Abzüge nach § 6b und ähnliche Abzüge, anzusetzen. </w:t>
      </w:r>
      <w:r w:rsidRPr="00921771">
        <w:rPr>
          <w:rFonts w:ascii="Times New Roman" w:eastAsia="Times New Roman" w:hAnsi="Times New Roman" w:cs="Times New Roman"/>
          <w:sz w:val="24"/>
          <w:szCs w:val="24"/>
          <w:vertAlign w:val="superscript"/>
          <w:lang w:eastAsia="de-DE"/>
        </w:rPr>
        <w:t>2</w:t>
      </w:r>
      <w:r w:rsidRPr="00921771">
        <w:rPr>
          <w:rFonts w:ascii="Times New Roman" w:eastAsia="Times New Roman" w:hAnsi="Times New Roman" w:cs="Times New Roman"/>
          <w:sz w:val="24"/>
          <w:szCs w:val="24"/>
          <w:lang w:eastAsia="de-DE"/>
        </w:rPr>
        <w:t xml:space="preserve">Ist der Teilwert (Nummer 1 Satz 3) auf Grund einer voraussichtlich dauernden Wertminderung niedriger, so kann dieser angesetzt werden. </w:t>
      </w:r>
      <w:r w:rsidRPr="00921771">
        <w:rPr>
          <w:rFonts w:ascii="Times New Roman" w:eastAsia="Times New Roman" w:hAnsi="Times New Roman" w:cs="Times New Roman"/>
          <w:sz w:val="24"/>
          <w:szCs w:val="24"/>
          <w:vertAlign w:val="superscript"/>
          <w:lang w:eastAsia="de-DE"/>
        </w:rPr>
        <w:t>3</w:t>
      </w:r>
      <w:r w:rsidRPr="00921771">
        <w:rPr>
          <w:rFonts w:ascii="Times New Roman" w:eastAsia="Times New Roman" w:hAnsi="Times New Roman" w:cs="Times New Roman"/>
          <w:sz w:val="24"/>
          <w:szCs w:val="24"/>
          <w:lang w:eastAsia="de-DE"/>
        </w:rPr>
        <w:t>Nummer 1 Satz 4 gilt entsprechend.</w:t>
      </w:r>
    </w:p>
    <w:p w:rsidR="00921771" w:rsidRPr="00921771" w:rsidRDefault="00921771" w:rsidP="00921771">
      <w:pPr>
        <w:spacing w:after="0" w:line="240" w:lineRule="auto"/>
        <w:rPr>
          <w:rFonts w:ascii="Times New Roman" w:eastAsia="Times New Roman" w:hAnsi="Times New Roman" w:cs="Times New Roman"/>
          <w:sz w:val="24"/>
          <w:szCs w:val="24"/>
          <w:lang w:eastAsia="de-DE"/>
        </w:rPr>
      </w:pPr>
      <w:r w:rsidRPr="00921771">
        <w:rPr>
          <w:rFonts w:ascii="Times New Roman" w:eastAsia="Times New Roman" w:hAnsi="Times New Roman" w:cs="Times New Roman"/>
          <w:sz w:val="24"/>
          <w:szCs w:val="24"/>
          <w:lang w:eastAsia="de-DE"/>
        </w:rPr>
        <w:t>2a.</w:t>
      </w:r>
    </w:p>
    <w:p w:rsidR="00921771" w:rsidRPr="00921771" w:rsidRDefault="00921771" w:rsidP="00921771">
      <w:pPr>
        <w:spacing w:after="0" w:line="240" w:lineRule="auto"/>
        <w:ind w:left="720"/>
        <w:rPr>
          <w:rFonts w:ascii="Times New Roman" w:eastAsia="Times New Roman" w:hAnsi="Times New Roman" w:cs="Times New Roman"/>
          <w:sz w:val="24"/>
          <w:szCs w:val="24"/>
          <w:lang w:eastAsia="de-DE"/>
        </w:rPr>
      </w:pPr>
      <w:r w:rsidRPr="00921771">
        <w:rPr>
          <w:rFonts w:ascii="Times New Roman" w:eastAsia="Times New Roman" w:hAnsi="Times New Roman" w:cs="Times New Roman"/>
          <w:sz w:val="24"/>
          <w:szCs w:val="24"/>
          <w:lang w:eastAsia="de-DE"/>
        </w:rPr>
        <w:t xml:space="preserve">Steuerpflichtige, die den Gewinn nach § 5 ermitteln, können für den Wertansatz gleichartiger Wirtschaftsgüter des Vorratsvermögens unterstellen, dass die zuletzt angeschafften oder hergestellten Wirtschaftsgüter zuerst verbraucht oder veräußert worden sind, soweit dies den handelsrechtlichen Grundsätzen ordnungsmäßiger Buchführung entspricht. </w:t>
      </w:r>
      <w:r w:rsidRPr="00921771">
        <w:rPr>
          <w:rFonts w:ascii="Times New Roman" w:eastAsia="Times New Roman" w:hAnsi="Times New Roman" w:cs="Times New Roman"/>
          <w:sz w:val="24"/>
          <w:szCs w:val="24"/>
          <w:vertAlign w:val="superscript"/>
          <w:lang w:eastAsia="de-DE"/>
        </w:rPr>
        <w:t>2</w:t>
      </w:r>
      <w:r w:rsidRPr="00921771">
        <w:rPr>
          <w:rFonts w:ascii="Times New Roman" w:eastAsia="Times New Roman" w:hAnsi="Times New Roman" w:cs="Times New Roman"/>
          <w:sz w:val="24"/>
          <w:szCs w:val="24"/>
          <w:lang w:eastAsia="de-DE"/>
        </w:rPr>
        <w:t xml:space="preserve">Der Vorratsbestand am Schluss des Wirtschaftsjahres, das der erstmaligen Anwendung der Bewertung nach Satz 1 vorangeht, gilt mit seinem Bilanzansatz als erster Zugang des neuen Wirtschaftsjahres. </w:t>
      </w:r>
      <w:r w:rsidRPr="00921771">
        <w:rPr>
          <w:rFonts w:ascii="Times New Roman" w:eastAsia="Times New Roman" w:hAnsi="Times New Roman" w:cs="Times New Roman"/>
          <w:sz w:val="24"/>
          <w:szCs w:val="24"/>
          <w:vertAlign w:val="superscript"/>
          <w:lang w:eastAsia="de-DE"/>
        </w:rPr>
        <w:t>3</w:t>
      </w:r>
      <w:r w:rsidRPr="00921771">
        <w:rPr>
          <w:rFonts w:ascii="Times New Roman" w:eastAsia="Times New Roman" w:hAnsi="Times New Roman" w:cs="Times New Roman"/>
          <w:sz w:val="24"/>
          <w:szCs w:val="24"/>
          <w:lang w:eastAsia="de-DE"/>
        </w:rPr>
        <w:t>Von der Verbrauchs- oder Veräußerungsfolge nach Satz 1 kann in den folgenden Wirtschaftsjahren nur mit Zustimmung des Finanzamts abgewichen werden.</w:t>
      </w:r>
    </w:p>
    <w:p w:rsidR="00921771" w:rsidRPr="00921771" w:rsidRDefault="00921771" w:rsidP="00921771">
      <w:pPr>
        <w:spacing w:after="0" w:line="240" w:lineRule="auto"/>
        <w:rPr>
          <w:rFonts w:ascii="Times New Roman" w:eastAsia="Times New Roman" w:hAnsi="Times New Roman" w:cs="Times New Roman"/>
          <w:sz w:val="24"/>
          <w:szCs w:val="24"/>
          <w:lang w:eastAsia="de-DE"/>
        </w:rPr>
      </w:pPr>
      <w:r w:rsidRPr="00921771">
        <w:rPr>
          <w:rFonts w:ascii="Times New Roman" w:eastAsia="Times New Roman" w:hAnsi="Times New Roman" w:cs="Times New Roman"/>
          <w:sz w:val="24"/>
          <w:szCs w:val="24"/>
          <w:lang w:eastAsia="de-DE"/>
        </w:rPr>
        <w:t>2b.</w:t>
      </w:r>
    </w:p>
    <w:p w:rsidR="00921771" w:rsidRPr="00921771" w:rsidRDefault="00921771" w:rsidP="00921771">
      <w:pPr>
        <w:spacing w:after="0" w:line="240" w:lineRule="auto"/>
        <w:ind w:left="720"/>
        <w:rPr>
          <w:rFonts w:ascii="Times New Roman" w:eastAsia="Times New Roman" w:hAnsi="Times New Roman" w:cs="Times New Roman"/>
          <w:sz w:val="24"/>
          <w:szCs w:val="24"/>
          <w:lang w:eastAsia="de-DE"/>
        </w:rPr>
      </w:pPr>
      <w:r w:rsidRPr="00921771">
        <w:rPr>
          <w:rFonts w:ascii="Times New Roman" w:eastAsia="Times New Roman" w:hAnsi="Times New Roman" w:cs="Times New Roman"/>
          <w:sz w:val="24"/>
          <w:szCs w:val="24"/>
          <w:lang w:eastAsia="de-DE"/>
        </w:rPr>
        <w:t xml:space="preserve">Steuerpflichtige, die in den Anwendungsbereich des § 340 des Handelsgesetzbuchs fallen, haben die zu Handelszwecken erworbenen Finanzinstrumente, die nicht in einer </w:t>
      </w:r>
      <w:r w:rsidRPr="00921771">
        <w:rPr>
          <w:rFonts w:ascii="Times New Roman" w:eastAsia="Times New Roman" w:hAnsi="Times New Roman" w:cs="Times New Roman"/>
          <w:sz w:val="24"/>
          <w:szCs w:val="24"/>
          <w:lang w:eastAsia="de-DE"/>
        </w:rPr>
        <w:lastRenderedPageBreak/>
        <w:t xml:space="preserve">Bewertungseinheit im Sinne des § 5 Absatz 1a Satz 2 abgebildet werden, mit dem beizulegenden Zeitwert abzüglich eines Risikoabschlages (§ 340e Absatz 3 des Handelsgesetzbuchs) zu bewerten. </w:t>
      </w:r>
      <w:r w:rsidRPr="00921771">
        <w:rPr>
          <w:rFonts w:ascii="Times New Roman" w:eastAsia="Times New Roman" w:hAnsi="Times New Roman" w:cs="Times New Roman"/>
          <w:sz w:val="24"/>
          <w:szCs w:val="24"/>
          <w:vertAlign w:val="superscript"/>
          <w:lang w:eastAsia="de-DE"/>
        </w:rPr>
        <w:t>2</w:t>
      </w:r>
      <w:r w:rsidRPr="00921771">
        <w:rPr>
          <w:rFonts w:ascii="Times New Roman" w:eastAsia="Times New Roman" w:hAnsi="Times New Roman" w:cs="Times New Roman"/>
          <w:sz w:val="24"/>
          <w:szCs w:val="24"/>
          <w:lang w:eastAsia="de-DE"/>
        </w:rPr>
        <w:t xml:space="preserve">Nummer 2 Satz 2 </w:t>
      </w:r>
      <w:proofErr w:type="gramStart"/>
      <w:r w:rsidRPr="00921771">
        <w:rPr>
          <w:rFonts w:ascii="Times New Roman" w:eastAsia="Times New Roman" w:hAnsi="Times New Roman" w:cs="Times New Roman"/>
          <w:sz w:val="24"/>
          <w:szCs w:val="24"/>
          <w:lang w:eastAsia="de-DE"/>
        </w:rPr>
        <w:t>ist</w:t>
      </w:r>
      <w:proofErr w:type="gramEnd"/>
      <w:r w:rsidRPr="00921771">
        <w:rPr>
          <w:rFonts w:ascii="Times New Roman" w:eastAsia="Times New Roman" w:hAnsi="Times New Roman" w:cs="Times New Roman"/>
          <w:sz w:val="24"/>
          <w:szCs w:val="24"/>
          <w:lang w:eastAsia="de-DE"/>
        </w:rPr>
        <w:t xml:space="preserve"> nicht anzuwenden.</w:t>
      </w:r>
    </w:p>
    <w:p w:rsidR="00921771" w:rsidRPr="00921771" w:rsidRDefault="00921771" w:rsidP="00921771">
      <w:pPr>
        <w:spacing w:after="0" w:line="240" w:lineRule="auto"/>
        <w:rPr>
          <w:rFonts w:ascii="Times New Roman" w:eastAsia="Times New Roman" w:hAnsi="Times New Roman" w:cs="Times New Roman"/>
          <w:sz w:val="24"/>
          <w:szCs w:val="24"/>
          <w:lang w:eastAsia="de-DE"/>
        </w:rPr>
      </w:pPr>
      <w:r w:rsidRPr="00921771">
        <w:rPr>
          <w:rFonts w:ascii="Times New Roman" w:eastAsia="Times New Roman" w:hAnsi="Times New Roman" w:cs="Times New Roman"/>
          <w:sz w:val="24"/>
          <w:szCs w:val="24"/>
          <w:lang w:eastAsia="de-DE"/>
        </w:rPr>
        <w:t>3.</w:t>
      </w:r>
    </w:p>
    <w:p w:rsidR="00921771" w:rsidRPr="00921771" w:rsidRDefault="00921771" w:rsidP="00921771">
      <w:pPr>
        <w:spacing w:after="0" w:line="240" w:lineRule="auto"/>
        <w:ind w:left="720"/>
        <w:rPr>
          <w:rFonts w:ascii="Times New Roman" w:eastAsia="Times New Roman" w:hAnsi="Times New Roman" w:cs="Times New Roman"/>
          <w:sz w:val="24"/>
          <w:szCs w:val="24"/>
          <w:lang w:eastAsia="de-DE"/>
        </w:rPr>
      </w:pPr>
      <w:r w:rsidRPr="00921771">
        <w:rPr>
          <w:rFonts w:ascii="Times New Roman" w:eastAsia="Times New Roman" w:hAnsi="Times New Roman" w:cs="Times New Roman"/>
          <w:sz w:val="24"/>
          <w:szCs w:val="24"/>
          <w:lang w:eastAsia="de-DE"/>
        </w:rPr>
        <w:t xml:space="preserve">Verbindlichkeiten sind unter sinngemäßer Anwendung der Vorschriften der Nummer 2 anzusetzen und mit einem Zinssatz von 5,5 Prozent </w:t>
      </w:r>
      <w:proofErr w:type="spellStart"/>
      <w:r w:rsidRPr="00921771">
        <w:rPr>
          <w:rFonts w:ascii="Times New Roman" w:eastAsia="Times New Roman" w:hAnsi="Times New Roman" w:cs="Times New Roman"/>
          <w:sz w:val="24"/>
          <w:szCs w:val="24"/>
          <w:lang w:eastAsia="de-DE"/>
        </w:rPr>
        <w:t>abzuzinsen</w:t>
      </w:r>
      <w:proofErr w:type="spellEnd"/>
      <w:r w:rsidRPr="00921771">
        <w:rPr>
          <w:rFonts w:ascii="Times New Roman" w:eastAsia="Times New Roman" w:hAnsi="Times New Roman" w:cs="Times New Roman"/>
          <w:sz w:val="24"/>
          <w:szCs w:val="24"/>
          <w:lang w:eastAsia="de-DE"/>
        </w:rPr>
        <w:t xml:space="preserve">. </w:t>
      </w:r>
      <w:r w:rsidRPr="00921771">
        <w:rPr>
          <w:rFonts w:ascii="Times New Roman" w:eastAsia="Times New Roman" w:hAnsi="Times New Roman" w:cs="Times New Roman"/>
          <w:sz w:val="24"/>
          <w:szCs w:val="24"/>
          <w:vertAlign w:val="superscript"/>
          <w:lang w:eastAsia="de-DE"/>
        </w:rPr>
        <w:t>2</w:t>
      </w:r>
      <w:r w:rsidRPr="00921771">
        <w:rPr>
          <w:rFonts w:ascii="Times New Roman" w:eastAsia="Times New Roman" w:hAnsi="Times New Roman" w:cs="Times New Roman"/>
          <w:sz w:val="24"/>
          <w:szCs w:val="24"/>
          <w:lang w:eastAsia="de-DE"/>
        </w:rPr>
        <w:t xml:space="preserve">Ausgenommen von der </w:t>
      </w:r>
      <w:proofErr w:type="spellStart"/>
      <w:r w:rsidRPr="00921771">
        <w:rPr>
          <w:rFonts w:ascii="Times New Roman" w:eastAsia="Times New Roman" w:hAnsi="Times New Roman" w:cs="Times New Roman"/>
          <w:sz w:val="24"/>
          <w:szCs w:val="24"/>
          <w:lang w:eastAsia="de-DE"/>
        </w:rPr>
        <w:t>Abzinsung</w:t>
      </w:r>
      <w:proofErr w:type="spellEnd"/>
      <w:r w:rsidRPr="00921771">
        <w:rPr>
          <w:rFonts w:ascii="Times New Roman" w:eastAsia="Times New Roman" w:hAnsi="Times New Roman" w:cs="Times New Roman"/>
          <w:sz w:val="24"/>
          <w:szCs w:val="24"/>
          <w:lang w:eastAsia="de-DE"/>
        </w:rPr>
        <w:t xml:space="preserve"> sind Verbindlichkeiten, deren Laufzeit am Bilanzstichtag weniger als zwölf Monate beträgt, und Verbindlichkeiten, die verzinslich sind oder auf einer Anzahlung oder Vorausleistung beruhen.</w:t>
      </w:r>
    </w:p>
    <w:p w:rsidR="00921771" w:rsidRPr="00921771" w:rsidRDefault="00921771" w:rsidP="00921771">
      <w:pPr>
        <w:spacing w:after="0" w:line="240" w:lineRule="auto"/>
        <w:rPr>
          <w:rFonts w:ascii="Times New Roman" w:eastAsia="Times New Roman" w:hAnsi="Times New Roman" w:cs="Times New Roman"/>
          <w:sz w:val="24"/>
          <w:szCs w:val="24"/>
          <w:lang w:eastAsia="de-DE"/>
        </w:rPr>
      </w:pPr>
      <w:r w:rsidRPr="00921771">
        <w:rPr>
          <w:rFonts w:ascii="Times New Roman" w:eastAsia="Times New Roman" w:hAnsi="Times New Roman" w:cs="Times New Roman"/>
          <w:sz w:val="24"/>
          <w:szCs w:val="24"/>
          <w:lang w:eastAsia="de-DE"/>
        </w:rPr>
        <w:t>3a.</w:t>
      </w:r>
    </w:p>
    <w:p w:rsidR="00921771" w:rsidRPr="00921771" w:rsidRDefault="00921771" w:rsidP="00921771">
      <w:pPr>
        <w:spacing w:after="0" w:line="240" w:lineRule="auto"/>
        <w:ind w:left="720"/>
        <w:rPr>
          <w:rFonts w:ascii="Times New Roman" w:eastAsia="Times New Roman" w:hAnsi="Times New Roman" w:cs="Times New Roman"/>
          <w:sz w:val="24"/>
          <w:szCs w:val="24"/>
          <w:lang w:eastAsia="de-DE"/>
        </w:rPr>
      </w:pPr>
      <w:r w:rsidRPr="00921771">
        <w:rPr>
          <w:rFonts w:ascii="Times New Roman" w:eastAsia="Times New Roman" w:hAnsi="Times New Roman" w:cs="Times New Roman"/>
          <w:sz w:val="24"/>
          <w:szCs w:val="24"/>
          <w:lang w:eastAsia="de-DE"/>
        </w:rPr>
        <w:t xml:space="preserve">Rückstellungen sind höchstens insbesondere unter Berücksichtigung folgender Grundsätze anzusetzen: </w:t>
      </w:r>
    </w:p>
    <w:p w:rsidR="00921771" w:rsidRPr="00921771" w:rsidRDefault="00921771" w:rsidP="00921771">
      <w:pPr>
        <w:spacing w:after="0" w:line="240" w:lineRule="auto"/>
        <w:ind w:left="720"/>
        <w:rPr>
          <w:rFonts w:ascii="Times New Roman" w:eastAsia="Times New Roman" w:hAnsi="Times New Roman" w:cs="Times New Roman"/>
          <w:sz w:val="24"/>
          <w:szCs w:val="24"/>
          <w:lang w:eastAsia="de-DE"/>
        </w:rPr>
      </w:pPr>
      <w:r w:rsidRPr="00921771">
        <w:rPr>
          <w:rFonts w:ascii="Times New Roman" w:eastAsia="Times New Roman" w:hAnsi="Times New Roman" w:cs="Times New Roman"/>
          <w:sz w:val="24"/>
          <w:szCs w:val="24"/>
          <w:lang w:eastAsia="de-DE"/>
        </w:rPr>
        <w:t>a)</w:t>
      </w:r>
    </w:p>
    <w:p w:rsidR="00921771" w:rsidRPr="00921771" w:rsidRDefault="00921771" w:rsidP="00921771">
      <w:pPr>
        <w:spacing w:after="0" w:line="240" w:lineRule="auto"/>
        <w:ind w:left="720"/>
        <w:rPr>
          <w:rFonts w:ascii="Times New Roman" w:eastAsia="Times New Roman" w:hAnsi="Times New Roman" w:cs="Times New Roman"/>
          <w:sz w:val="24"/>
          <w:szCs w:val="24"/>
          <w:lang w:eastAsia="de-DE"/>
        </w:rPr>
      </w:pPr>
      <w:r w:rsidRPr="00921771">
        <w:rPr>
          <w:rFonts w:ascii="Times New Roman" w:eastAsia="Times New Roman" w:hAnsi="Times New Roman" w:cs="Times New Roman"/>
          <w:sz w:val="24"/>
          <w:szCs w:val="24"/>
          <w:lang w:eastAsia="de-DE"/>
        </w:rPr>
        <w:t>bei Rückstellungen für gleichartige Verpflichtungen ist auf der Grundlage der Erfahrungen in der Vergangenheit aus der Abwicklung solcher Verpflichtungen die Wahrscheinlichkeit zu berücksichtigen, dass der Steuerpflichtige nur zu einem Teil der Summe dieser Verpflichtungen in Anspruch genommen wird;</w:t>
      </w:r>
    </w:p>
    <w:p w:rsidR="00921771" w:rsidRPr="00921771" w:rsidRDefault="00921771" w:rsidP="00921771">
      <w:pPr>
        <w:spacing w:after="0" w:line="240" w:lineRule="auto"/>
        <w:ind w:left="720"/>
        <w:rPr>
          <w:rFonts w:ascii="Times New Roman" w:eastAsia="Times New Roman" w:hAnsi="Times New Roman" w:cs="Times New Roman"/>
          <w:sz w:val="24"/>
          <w:szCs w:val="24"/>
          <w:lang w:eastAsia="de-DE"/>
        </w:rPr>
      </w:pPr>
      <w:r w:rsidRPr="00921771">
        <w:rPr>
          <w:rFonts w:ascii="Times New Roman" w:eastAsia="Times New Roman" w:hAnsi="Times New Roman" w:cs="Times New Roman"/>
          <w:sz w:val="24"/>
          <w:szCs w:val="24"/>
          <w:lang w:eastAsia="de-DE"/>
        </w:rPr>
        <w:t>b)</w:t>
      </w:r>
    </w:p>
    <w:p w:rsidR="00921771" w:rsidRPr="00921771" w:rsidRDefault="00921771" w:rsidP="00921771">
      <w:pPr>
        <w:spacing w:after="0" w:line="240" w:lineRule="auto"/>
        <w:ind w:left="720"/>
        <w:rPr>
          <w:rFonts w:ascii="Times New Roman" w:eastAsia="Times New Roman" w:hAnsi="Times New Roman" w:cs="Times New Roman"/>
          <w:sz w:val="24"/>
          <w:szCs w:val="24"/>
          <w:lang w:eastAsia="de-DE"/>
        </w:rPr>
      </w:pPr>
      <w:r w:rsidRPr="00921771">
        <w:rPr>
          <w:rFonts w:ascii="Times New Roman" w:eastAsia="Times New Roman" w:hAnsi="Times New Roman" w:cs="Times New Roman"/>
          <w:sz w:val="24"/>
          <w:szCs w:val="24"/>
          <w:lang w:eastAsia="de-DE"/>
        </w:rPr>
        <w:t>Rückstellungen für Sachleistungsverpflichtungen sind mit den Einzelkosten und den angemessenen Teilen der notwendigen Gemeinkosten zu bewerten;</w:t>
      </w:r>
    </w:p>
    <w:p w:rsidR="00921771" w:rsidRPr="00921771" w:rsidRDefault="00921771" w:rsidP="00921771">
      <w:pPr>
        <w:spacing w:after="0" w:line="240" w:lineRule="auto"/>
        <w:ind w:left="720"/>
        <w:rPr>
          <w:rFonts w:ascii="Times New Roman" w:eastAsia="Times New Roman" w:hAnsi="Times New Roman" w:cs="Times New Roman"/>
          <w:sz w:val="24"/>
          <w:szCs w:val="24"/>
          <w:lang w:eastAsia="de-DE"/>
        </w:rPr>
      </w:pPr>
      <w:r w:rsidRPr="00921771">
        <w:rPr>
          <w:rFonts w:ascii="Times New Roman" w:eastAsia="Times New Roman" w:hAnsi="Times New Roman" w:cs="Times New Roman"/>
          <w:sz w:val="24"/>
          <w:szCs w:val="24"/>
          <w:lang w:eastAsia="de-DE"/>
        </w:rPr>
        <w:t>c)</w:t>
      </w:r>
    </w:p>
    <w:p w:rsidR="00921771" w:rsidRPr="00921771" w:rsidRDefault="00921771" w:rsidP="00921771">
      <w:pPr>
        <w:spacing w:after="0" w:line="240" w:lineRule="auto"/>
        <w:ind w:left="720"/>
        <w:rPr>
          <w:rFonts w:ascii="Times New Roman" w:eastAsia="Times New Roman" w:hAnsi="Times New Roman" w:cs="Times New Roman"/>
          <w:sz w:val="24"/>
          <w:szCs w:val="24"/>
          <w:lang w:eastAsia="de-DE"/>
        </w:rPr>
      </w:pPr>
      <w:r w:rsidRPr="00921771">
        <w:rPr>
          <w:rFonts w:ascii="Times New Roman" w:eastAsia="Times New Roman" w:hAnsi="Times New Roman" w:cs="Times New Roman"/>
          <w:sz w:val="24"/>
          <w:szCs w:val="24"/>
          <w:lang w:eastAsia="de-DE"/>
        </w:rPr>
        <w:t>künftige Vorteile, die mit der Erfüllung der Verpflichtung voraussichtlich verbunden sein werden, sind, soweit sie nicht als Forderung zu aktivieren sind, bei ihrer Bewertung wertmindernd zu berücksichtigen;</w:t>
      </w:r>
    </w:p>
    <w:p w:rsidR="00921771" w:rsidRPr="00921771" w:rsidRDefault="00921771" w:rsidP="00921771">
      <w:pPr>
        <w:spacing w:after="0" w:line="240" w:lineRule="auto"/>
        <w:ind w:left="720"/>
        <w:rPr>
          <w:rFonts w:ascii="Times New Roman" w:eastAsia="Times New Roman" w:hAnsi="Times New Roman" w:cs="Times New Roman"/>
          <w:sz w:val="24"/>
          <w:szCs w:val="24"/>
          <w:lang w:eastAsia="de-DE"/>
        </w:rPr>
      </w:pPr>
      <w:r w:rsidRPr="00921771">
        <w:rPr>
          <w:rFonts w:ascii="Times New Roman" w:eastAsia="Times New Roman" w:hAnsi="Times New Roman" w:cs="Times New Roman"/>
          <w:sz w:val="24"/>
          <w:szCs w:val="24"/>
          <w:lang w:eastAsia="de-DE"/>
        </w:rPr>
        <w:t>d)</w:t>
      </w:r>
    </w:p>
    <w:p w:rsidR="00921771" w:rsidRPr="00921771" w:rsidRDefault="00921771" w:rsidP="00921771">
      <w:pPr>
        <w:spacing w:after="0" w:line="240" w:lineRule="auto"/>
        <w:ind w:left="720"/>
        <w:rPr>
          <w:rFonts w:ascii="Times New Roman" w:eastAsia="Times New Roman" w:hAnsi="Times New Roman" w:cs="Times New Roman"/>
          <w:sz w:val="24"/>
          <w:szCs w:val="24"/>
          <w:lang w:eastAsia="de-DE"/>
        </w:rPr>
      </w:pPr>
      <w:r w:rsidRPr="00921771">
        <w:rPr>
          <w:rFonts w:ascii="Times New Roman" w:eastAsia="Times New Roman" w:hAnsi="Times New Roman" w:cs="Times New Roman"/>
          <w:sz w:val="24"/>
          <w:szCs w:val="24"/>
          <w:lang w:eastAsia="de-DE"/>
        </w:rPr>
        <w:t xml:space="preserve">Rückstellungen für Verpflichtungen, für deren Entstehen im wirtschaftlichen Sinne der laufende Betrieb ursächlich ist, sind zeitanteilig in gleichen Raten anzusammeln. </w:t>
      </w:r>
      <w:r w:rsidRPr="00921771">
        <w:rPr>
          <w:rFonts w:ascii="Times New Roman" w:eastAsia="Times New Roman" w:hAnsi="Times New Roman" w:cs="Times New Roman"/>
          <w:sz w:val="24"/>
          <w:szCs w:val="24"/>
          <w:vertAlign w:val="superscript"/>
          <w:lang w:eastAsia="de-DE"/>
        </w:rPr>
        <w:t>2</w:t>
      </w:r>
      <w:r w:rsidRPr="00921771">
        <w:rPr>
          <w:rFonts w:ascii="Times New Roman" w:eastAsia="Times New Roman" w:hAnsi="Times New Roman" w:cs="Times New Roman"/>
          <w:sz w:val="24"/>
          <w:szCs w:val="24"/>
          <w:lang w:eastAsia="de-DE"/>
        </w:rPr>
        <w:t xml:space="preserve">Rückstellungen für gesetzliche Verpflichtungen zur Rücknahme und Verwertung von Erzeugnissen, die vor Inkrafttreten entsprechender gesetzlicher Verpflichtungen in Verkehr gebracht worden sind, sind zeitanteilig in gleichen Raten bis zum Beginn der jeweiligen Erfüllung anzusammeln; Buchstabe e ist insoweit nicht anzuwenden. </w:t>
      </w:r>
      <w:r w:rsidRPr="00921771">
        <w:rPr>
          <w:rFonts w:ascii="Times New Roman" w:eastAsia="Times New Roman" w:hAnsi="Times New Roman" w:cs="Times New Roman"/>
          <w:sz w:val="24"/>
          <w:szCs w:val="24"/>
          <w:vertAlign w:val="superscript"/>
          <w:lang w:eastAsia="de-DE"/>
        </w:rPr>
        <w:t>3</w:t>
      </w:r>
      <w:r w:rsidRPr="00921771">
        <w:rPr>
          <w:rFonts w:ascii="Times New Roman" w:eastAsia="Times New Roman" w:hAnsi="Times New Roman" w:cs="Times New Roman"/>
          <w:sz w:val="24"/>
          <w:szCs w:val="24"/>
          <w:lang w:eastAsia="de-DE"/>
        </w:rPr>
        <w:t>Rückstellungen für die Verpflichtung, ein Kernkraftwerk stillzulegen, sind ab dem Zeitpunkt der erstmaligen Nutzung bis zum Zeitpunkt, in dem mit der Stilllegung begonnen werden muss, zeitanteilig in gleichen Raten anzusammeln; steht der Zeitpunkt der Stilllegung nicht fest, beträgt der Zeitraum für die Ansammlung 25 Jahre;</w:t>
      </w:r>
    </w:p>
    <w:p w:rsidR="00921771" w:rsidRPr="00921771" w:rsidRDefault="00921771" w:rsidP="00921771">
      <w:pPr>
        <w:spacing w:after="0" w:line="240" w:lineRule="auto"/>
        <w:ind w:left="720"/>
        <w:rPr>
          <w:rFonts w:ascii="Times New Roman" w:eastAsia="Times New Roman" w:hAnsi="Times New Roman" w:cs="Times New Roman"/>
          <w:sz w:val="24"/>
          <w:szCs w:val="24"/>
          <w:lang w:eastAsia="de-DE"/>
        </w:rPr>
      </w:pPr>
      <w:r w:rsidRPr="00921771">
        <w:rPr>
          <w:rFonts w:ascii="Times New Roman" w:eastAsia="Times New Roman" w:hAnsi="Times New Roman" w:cs="Times New Roman"/>
          <w:sz w:val="24"/>
          <w:szCs w:val="24"/>
          <w:lang w:eastAsia="de-DE"/>
        </w:rPr>
        <w:t>e)</w:t>
      </w:r>
    </w:p>
    <w:p w:rsidR="00921771" w:rsidRPr="00921771" w:rsidRDefault="00921771" w:rsidP="00921771">
      <w:pPr>
        <w:spacing w:after="0" w:line="240" w:lineRule="auto"/>
        <w:ind w:left="720"/>
        <w:rPr>
          <w:rFonts w:ascii="Times New Roman" w:eastAsia="Times New Roman" w:hAnsi="Times New Roman" w:cs="Times New Roman"/>
          <w:sz w:val="24"/>
          <w:szCs w:val="24"/>
          <w:lang w:eastAsia="de-DE"/>
        </w:rPr>
      </w:pPr>
      <w:r w:rsidRPr="00921771">
        <w:rPr>
          <w:rFonts w:ascii="Times New Roman" w:eastAsia="Times New Roman" w:hAnsi="Times New Roman" w:cs="Times New Roman"/>
          <w:sz w:val="24"/>
          <w:szCs w:val="24"/>
          <w:lang w:eastAsia="de-DE"/>
        </w:rPr>
        <w:t xml:space="preserve">Rückstellungen für Verpflichtungen sind mit einem Zinssatz von 5,5 Prozent </w:t>
      </w:r>
      <w:proofErr w:type="spellStart"/>
      <w:r w:rsidRPr="00921771">
        <w:rPr>
          <w:rFonts w:ascii="Times New Roman" w:eastAsia="Times New Roman" w:hAnsi="Times New Roman" w:cs="Times New Roman"/>
          <w:sz w:val="24"/>
          <w:szCs w:val="24"/>
          <w:lang w:eastAsia="de-DE"/>
        </w:rPr>
        <w:t>abzuzinsen</w:t>
      </w:r>
      <w:proofErr w:type="spellEnd"/>
      <w:r w:rsidRPr="00921771">
        <w:rPr>
          <w:rFonts w:ascii="Times New Roman" w:eastAsia="Times New Roman" w:hAnsi="Times New Roman" w:cs="Times New Roman"/>
          <w:sz w:val="24"/>
          <w:szCs w:val="24"/>
          <w:lang w:eastAsia="de-DE"/>
        </w:rPr>
        <w:t xml:space="preserve">; Nummer 3 Satz 2 ist entsprechend anzuwenden. </w:t>
      </w:r>
      <w:r w:rsidRPr="00921771">
        <w:rPr>
          <w:rFonts w:ascii="Times New Roman" w:eastAsia="Times New Roman" w:hAnsi="Times New Roman" w:cs="Times New Roman"/>
          <w:sz w:val="24"/>
          <w:szCs w:val="24"/>
          <w:vertAlign w:val="superscript"/>
          <w:lang w:eastAsia="de-DE"/>
        </w:rPr>
        <w:t>2</w:t>
      </w:r>
      <w:r w:rsidRPr="00921771">
        <w:rPr>
          <w:rFonts w:ascii="Times New Roman" w:eastAsia="Times New Roman" w:hAnsi="Times New Roman" w:cs="Times New Roman"/>
          <w:sz w:val="24"/>
          <w:szCs w:val="24"/>
          <w:lang w:eastAsia="de-DE"/>
        </w:rPr>
        <w:t xml:space="preserve">Für die </w:t>
      </w:r>
      <w:proofErr w:type="spellStart"/>
      <w:r w:rsidRPr="00921771">
        <w:rPr>
          <w:rFonts w:ascii="Times New Roman" w:eastAsia="Times New Roman" w:hAnsi="Times New Roman" w:cs="Times New Roman"/>
          <w:sz w:val="24"/>
          <w:szCs w:val="24"/>
          <w:lang w:eastAsia="de-DE"/>
        </w:rPr>
        <w:t>Abzinsung</w:t>
      </w:r>
      <w:proofErr w:type="spellEnd"/>
      <w:r w:rsidRPr="00921771">
        <w:rPr>
          <w:rFonts w:ascii="Times New Roman" w:eastAsia="Times New Roman" w:hAnsi="Times New Roman" w:cs="Times New Roman"/>
          <w:sz w:val="24"/>
          <w:szCs w:val="24"/>
          <w:lang w:eastAsia="de-DE"/>
        </w:rPr>
        <w:t xml:space="preserve"> von Rückstellungen für Sachleistungsverpflichtungen ist der Zeitraum bis zum Beginn der Erfüllung maßgebend. </w:t>
      </w:r>
      <w:r w:rsidRPr="00921771">
        <w:rPr>
          <w:rFonts w:ascii="Times New Roman" w:eastAsia="Times New Roman" w:hAnsi="Times New Roman" w:cs="Times New Roman"/>
          <w:sz w:val="24"/>
          <w:szCs w:val="24"/>
          <w:vertAlign w:val="superscript"/>
          <w:lang w:eastAsia="de-DE"/>
        </w:rPr>
        <w:t>3</w:t>
      </w:r>
      <w:r w:rsidRPr="00921771">
        <w:rPr>
          <w:rFonts w:ascii="Times New Roman" w:eastAsia="Times New Roman" w:hAnsi="Times New Roman" w:cs="Times New Roman"/>
          <w:sz w:val="24"/>
          <w:szCs w:val="24"/>
          <w:lang w:eastAsia="de-DE"/>
        </w:rPr>
        <w:t xml:space="preserve">Für die </w:t>
      </w:r>
      <w:proofErr w:type="spellStart"/>
      <w:r w:rsidRPr="00921771">
        <w:rPr>
          <w:rFonts w:ascii="Times New Roman" w:eastAsia="Times New Roman" w:hAnsi="Times New Roman" w:cs="Times New Roman"/>
          <w:sz w:val="24"/>
          <w:szCs w:val="24"/>
          <w:lang w:eastAsia="de-DE"/>
        </w:rPr>
        <w:t>Abzinsung</w:t>
      </w:r>
      <w:proofErr w:type="spellEnd"/>
      <w:r w:rsidRPr="00921771">
        <w:rPr>
          <w:rFonts w:ascii="Times New Roman" w:eastAsia="Times New Roman" w:hAnsi="Times New Roman" w:cs="Times New Roman"/>
          <w:sz w:val="24"/>
          <w:szCs w:val="24"/>
          <w:lang w:eastAsia="de-DE"/>
        </w:rPr>
        <w:t xml:space="preserve"> von Rückstellungen für die Verpflichtung, ein Kernkraftwerk stillzulegen, ist der sich aus Buchstabe d Satz 3 ergebende Zeitraum maßgebend; und</w:t>
      </w:r>
    </w:p>
    <w:p w:rsidR="00921771" w:rsidRPr="00921771" w:rsidRDefault="00921771" w:rsidP="00921771">
      <w:pPr>
        <w:spacing w:after="0" w:line="240" w:lineRule="auto"/>
        <w:ind w:left="720"/>
        <w:rPr>
          <w:rFonts w:ascii="Times New Roman" w:eastAsia="Times New Roman" w:hAnsi="Times New Roman" w:cs="Times New Roman"/>
          <w:sz w:val="24"/>
          <w:szCs w:val="24"/>
          <w:lang w:eastAsia="de-DE"/>
        </w:rPr>
      </w:pPr>
      <w:r w:rsidRPr="00921771">
        <w:rPr>
          <w:rFonts w:ascii="Times New Roman" w:eastAsia="Times New Roman" w:hAnsi="Times New Roman" w:cs="Times New Roman"/>
          <w:sz w:val="24"/>
          <w:szCs w:val="24"/>
          <w:lang w:eastAsia="de-DE"/>
        </w:rPr>
        <w:t>f)</w:t>
      </w:r>
    </w:p>
    <w:p w:rsidR="00921771" w:rsidRPr="00921771" w:rsidRDefault="00921771" w:rsidP="00921771">
      <w:pPr>
        <w:spacing w:after="0" w:line="240" w:lineRule="auto"/>
        <w:ind w:left="720"/>
        <w:rPr>
          <w:rFonts w:ascii="Times New Roman" w:eastAsia="Times New Roman" w:hAnsi="Times New Roman" w:cs="Times New Roman"/>
          <w:sz w:val="24"/>
          <w:szCs w:val="24"/>
          <w:lang w:eastAsia="de-DE"/>
        </w:rPr>
      </w:pPr>
      <w:r w:rsidRPr="00921771">
        <w:rPr>
          <w:rFonts w:ascii="Times New Roman" w:eastAsia="Times New Roman" w:hAnsi="Times New Roman" w:cs="Times New Roman"/>
          <w:sz w:val="24"/>
          <w:szCs w:val="24"/>
          <w:lang w:eastAsia="de-DE"/>
        </w:rPr>
        <w:t>bei der Bewertung sind die Wertverhältnisse am Bilanzstichtag maßgebend; künftige Preis- und Kostensteigerungen dürfen nicht berücksichtigt werden.</w:t>
      </w:r>
    </w:p>
    <w:p w:rsidR="00921771" w:rsidRPr="00921771" w:rsidRDefault="00921771" w:rsidP="00921771">
      <w:pPr>
        <w:spacing w:after="0" w:line="240" w:lineRule="auto"/>
        <w:rPr>
          <w:rFonts w:ascii="Times New Roman" w:eastAsia="Times New Roman" w:hAnsi="Times New Roman" w:cs="Times New Roman"/>
          <w:sz w:val="24"/>
          <w:szCs w:val="24"/>
          <w:lang w:eastAsia="de-DE"/>
        </w:rPr>
      </w:pPr>
      <w:r w:rsidRPr="00921771">
        <w:rPr>
          <w:rFonts w:ascii="Times New Roman" w:eastAsia="Times New Roman" w:hAnsi="Times New Roman" w:cs="Times New Roman"/>
          <w:sz w:val="24"/>
          <w:szCs w:val="24"/>
          <w:lang w:eastAsia="de-DE"/>
        </w:rPr>
        <w:t>4.</w:t>
      </w:r>
    </w:p>
    <w:p w:rsidR="00921771" w:rsidRPr="00921771" w:rsidRDefault="00921771" w:rsidP="00921771">
      <w:pPr>
        <w:spacing w:after="0" w:line="240" w:lineRule="auto"/>
        <w:ind w:left="720"/>
        <w:rPr>
          <w:rFonts w:ascii="Times New Roman" w:eastAsia="Times New Roman" w:hAnsi="Times New Roman" w:cs="Times New Roman"/>
          <w:sz w:val="24"/>
          <w:szCs w:val="24"/>
          <w:lang w:eastAsia="de-DE"/>
        </w:rPr>
      </w:pPr>
      <w:r w:rsidRPr="00921771">
        <w:rPr>
          <w:rFonts w:ascii="Times New Roman" w:eastAsia="Times New Roman" w:hAnsi="Times New Roman" w:cs="Times New Roman"/>
          <w:sz w:val="24"/>
          <w:szCs w:val="24"/>
          <w:lang w:eastAsia="de-DE"/>
        </w:rPr>
        <w:t xml:space="preserve">Entnahmen des Steuerpflichtigen für sich, für seinen Haushalt oder für andere betriebsfremde Zwecke sind mit dem Teilwert anzusetzen; in den Fällen des § 4 Absatz 1 Satz 3 ist die Entnahme mit dem gemeinen Wert anzusetzen. </w:t>
      </w:r>
      <w:r w:rsidRPr="00921771">
        <w:rPr>
          <w:rFonts w:ascii="Times New Roman" w:eastAsia="Times New Roman" w:hAnsi="Times New Roman" w:cs="Times New Roman"/>
          <w:sz w:val="24"/>
          <w:szCs w:val="24"/>
          <w:vertAlign w:val="superscript"/>
          <w:lang w:eastAsia="de-DE"/>
        </w:rPr>
        <w:t>2</w:t>
      </w:r>
      <w:r w:rsidRPr="00921771">
        <w:rPr>
          <w:rFonts w:ascii="Times New Roman" w:eastAsia="Times New Roman" w:hAnsi="Times New Roman" w:cs="Times New Roman"/>
          <w:sz w:val="24"/>
          <w:szCs w:val="24"/>
          <w:lang w:eastAsia="de-DE"/>
        </w:rPr>
        <w:t xml:space="preserve">Die private Nutzung eines Kraftfahrzeugs, das zu mehr als 50 Prozent betrieblich genutzt wird, ist </w:t>
      </w:r>
      <w:r w:rsidRPr="00921771">
        <w:rPr>
          <w:rFonts w:ascii="Times New Roman" w:eastAsia="Times New Roman" w:hAnsi="Times New Roman" w:cs="Times New Roman"/>
          <w:sz w:val="24"/>
          <w:szCs w:val="24"/>
          <w:lang w:eastAsia="de-DE"/>
        </w:rPr>
        <w:lastRenderedPageBreak/>
        <w:t xml:space="preserve">für jeden Kalendermonat mit 1 Prozent des inländischen Listenpreises im Zeitpunkt der Erstzulassung zuzüglich der Kosten für Sonderausstattung einschließlich Umsatzsteuer anzusetzen; bei der privaten Nutzung von Fahrzeugen mit Antrieb ausschließlich durch Elektromotoren, die ganz oder überwiegend aus mechanischen oder elektrochemischen Energiespeichern oder aus emissionsfrei betriebenen Energiewandlern gespeist werden (Elektrofahrzeuge), oder von extern aufladbaren Hybridelektrofahrzeugen, ist der Listenpreis dieser Kraftfahrzeuge um die darin enthaltenen Kosten des Batteriesystems im Zeitpunkt der Erstzulassung des Kraftfahrzeugs wie folgt zu mindern: für bis zum 31. Dezember 2013 angeschaffte Kraftfahrzeuge um 500 Euro pro Kilowattstunde der Batteriekapazität, dieser Betrag mindert sich für in den Folgejahren angeschaffte Kraftfahrzeuge um jährlich 50 Euro pro Kilowattstunde der Batteriekapazität; die Minderung pro Kraftfahrzeug beträgt höchstens 10 000 Euro; dieser Höchstbetrag mindert sich für in den Folgejahren angeschaffte Kraftfahrzeuge um jährlich 500 Euro. </w:t>
      </w:r>
      <w:r w:rsidRPr="00921771">
        <w:rPr>
          <w:rFonts w:ascii="Times New Roman" w:eastAsia="Times New Roman" w:hAnsi="Times New Roman" w:cs="Times New Roman"/>
          <w:sz w:val="24"/>
          <w:szCs w:val="24"/>
          <w:vertAlign w:val="superscript"/>
          <w:lang w:eastAsia="de-DE"/>
        </w:rPr>
        <w:t>3</w:t>
      </w:r>
      <w:r w:rsidRPr="00921771">
        <w:rPr>
          <w:rFonts w:ascii="Times New Roman" w:eastAsia="Times New Roman" w:hAnsi="Times New Roman" w:cs="Times New Roman"/>
          <w:sz w:val="24"/>
          <w:szCs w:val="24"/>
          <w:lang w:eastAsia="de-DE"/>
        </w:rPr>
        <w:t xml:space="preserve">Die private Nutzung kann abweichend von Satz 2 mit den auf die Privatfahrten entfallenden Aufwendungen angesetzt werden, wenn die für das Kraftfahrzeug insgesamt entstehenden Aufwendungen durch Belege und das Verhältnis der privaten zu den übrigen Fahrten durch ein ordnungsgemäßes Fahrtenbuch nachgewiesen werden; bei der privaten Nutzung von Fahrzeugen mit Antrieb ausschließlich durch Elektromotoren, die ganz oder überwiegend aus mechanischen oder elektrochemischen Energiespeichern oder aus emissionsfrei betriebenen Energiewandlern gespeist werden (Elektrofahrzeuge), oder von extern aufladbaren Hybridelektrofahrzeugen, sind die der Berechnung der Entnahme zugrunde zu legenden insgesamt entstandenen Aufwendungen um Aufwendungen für das Batteriesystem zu mindern; dabei ist bei zum Betriebsvermögen des Steuerpflichtigen gehörenden Elektro- und Hybridelektrofahrzeugen die der Berechnung der Absetzungen für Abnutzung zugrunde zu legende Bemessungsgrundlage um die nach Satz 2 in pauschaler Höhe festgelegten Aufwendungen zu mindern, wenn darin Kosten für ein Batteriesystem enthalten sind. </w:t>
      </w:r>
      <w:r w:rsidRPr="00921771">
        <w:rPr>
          <w:rFonts w:ascii="Times New Roman" w:eastAsia="Times New Roman" w:hAnsi="Times New Roman" w:cs="Times New Roman"/>
          <w:sz w:val="24"/>
          <w:szCs w:val="24"/>
          <w:vertAlign w:val="superscript"/>
          <w:lang w:eastAsia="de-DE"/>
        </w:rPr>
        <w:t>4</w:t>
      </w:r>
      <w:r w:rsidRPr="00921771">
        <w:rPr>
          <w:rFonts w:ascii="Times New Roman" w:eastAsia="Times New Roman" w:hAnsi="Times New Roman" w:cs="Times New Roman"/>
          <w:sz w:val="24"/>
          <w:szCs w:val="24"/>
          <w:lang w:eastAsia="de-DE"/>
        </w:rPr>
        <w:t xml:space="preserve">Wird ein Wirtschaftsgut unmittelbar nach seiner Entnahme einer nach § 5 Absatz 1 Nummer 9 des Körperschaftsteuergesetzes von der Körperschaftsteuer befreiten Körperschaft, Personenvereinigung oder Vermögensmasse oder einer juristischen Person des öffentlichen Rechts zur Verwendung für steuerbegünstigte Zwecke im Sinne des § 10b Absatz 1 Satz 1 unentgeltlich überlassen, so kann die Entnahme mit dem Buchwert angesetzt werden. </w:t>
      </w:r>
      <w:r w:rsidRPr="00921771">
        <w:rPr>
          <w:rFonts w:ascii="Times New Roman" w:eastAsia="Times New Roman" w:hAnsi="Times New Roman" w:cs="Times New Roman"/>
          <w:sz w:val="24"/>
          <w:szCs w:val="24"/>
          <w:vertAlign w:val="superscript"/>
          <w:lang w:eastAsia="de-DE"/>
        </w:rPr>
        <w:t>5</w:t>
      </w:r>
      <w:r w:rsidRPr="00921771">
        <w:rPr>
          <w:rFonts w:ascii="Times New Roman" w:eastAsia="Times New Roman" w:hAnsi="Times New Roman" w:cs="Times New Roman"/>
          <w:sz w:val="24"/>
          <w:szCs w:val="24"/>
          <w:lang w:eastAsia="de-DE"/>
        </w:rPr>
        <w:t>Satz 4 gilt nicht für die Entnahme von Nutzungen und Leistungen.</w:t>
      </w:r>
    </w:p>
    <w:p w:rsidR="00921771" w:rsidRPr="00921771" w:rsidRDefault="00921771" w:rsidP="00921771">
      <w:pPr>
        <w:spacing w:after="0" w:line="240" w:lineRule="auto"/>
        <w:rPr>
          <w:rFonts w:ascii="Times New Roman" w:eastAsia="Times New Roman" w:hAnsi="Times New Roman" w:cs="Times New Roman"/>
          <w:sz w:val="24"/>
          <w:szCs w:val="24"/>
          <w:lang w:eastAsia="de-DE"/>
        </w:rPr>
      </w:pPr>
      <w:r w:rsidRPr="00921771">
        <w:rPr>
          <w:rFonts w:ascii="Times New Roman" w:eastAsia="Times New Roman" w:hAnsi="Times New Roman" w:cs="Times New Roman"/>
          <w:sz w:val="24"/>
          <w:szCs w:val="24"/>
          <w:lang w:eastAsia="de-DE"/>
        </w:rPr>
        <w:t>5.</w:t>
      </w:r>
    </w:p>
    <w:p w:rsidR="00921771" w:rsidRPr="00921771" w:rsidRDefault="00921771" w:rsidP="00921771">
      <w:pPr>
        <w:spacing w:after="0" w:line="240" w:lineRule="auto"/>
        <w:ind w:left="720"/>
        <w:rPr>
          <w:rFonts w:ascii="Times New Roman" w:eastAsia="Times New Roman" w:hAnsi="Times New Roman" w:cs="Times New Roman"/>
          <w:sz w:val="24"/>
          <w:szCs w:val="24"/>
          <w:lang w:eastAsia="de-DE"/>
        </w:rPr>
      </w:pPr>
      <w:r w:rsidRPr="00921771">
        <w:rPr>
          <w:rFonts w:ascii="Times New Roman" w:eastAsia="Times New Roman" w:hAnsi="Times New Roman" w:cs="Times New Roman"/>
          <w:sz w:val="24"/>
          <w:szCs w:val="24"/>
          <w:lang w:eastAsia="de-DE"/>
        </w:rPr>
        <w:t xml:space="preserve">Einlagen sind mit dem Teilwert für den Zeitpunkt der Zuführung anzusetzen; sie sind jedoch höchstens mit den Anschaffungs- oder Herstellungskosten anzusetzen, wenn das zugeführte Wirtschaftsgut </w:t>
      </w:r>
    </w:p>
    <w:p w:rsidR="00921771" w:rsidRPr="00921771" w:rsidRDefault="00921771" w:rsidP="00921771">
      <w:pPr>
        <w:spacing w:after="0" w:line="240" w:lineRule="auto"/>
        <w:ind w:left="720"/>
        <w:rPr>
          <w:rFonts w:ascii="Times New Roman" w:eastAsia="Times New Roman" w:hAnsi="Times New Roman" w:cs="Times New Roman"/>
          <w:sz w:val="24"/>
          <w:szCs w:val="24"/>
          <w:lang w:eastAsia="de-DE"/>
        </w:rPr>
      </w:pPr>
      <w:r w:rsidRPr="00921771">
        <w:rPr>
          <w:rFonts w:ascii="Times New Roman" w:eastAsia="Times New Roman" w:hAnsi="Times New Roman" w:cs="Times New Roman"/>
          <w:sz w:val="24"/>
          <w:szCs w:val="24"/>
          <w:lang w:eastAsia="de-DE"/>
        </w:rPr>
        <w:t>a)</w:t>
      </w:r>
    </w:p>
    <w:p w:rsidR="00921771" w:rsidRPr="00921771" w:rsidRDefault="00921771" w:rsidP="00921771">
      <w:pPr>
        <w:spacing w:after="0" w:line="240" w:lineRule="auto"/>
        <w:ind w:left="720"/>
        <w:rPr>
          <w:rFonts w:ascii="Times New Roman" w:eastAsia="Times New Roman" w:hAnsi="Times New Roman" w:cs="Times New Roman"/>
          <w:sz w:val="24"/>
          <w:szCs w:val="24"/>
          <w:lang w:eastAsia="de-DE"/>
        </w:rPr>
      </w:pPr>
      <w:r w:rsidRPr="00921771">
        <w:rPr>
          <w:rFonts w:ascii="Times New Roman" w:eastAsia="Times New Roman" w:hAnsi="Times New Roman" w:cs="Times New Roman"/>
          <w:sz w:val="24"/>
          <w:szCs w:val="24"/>
          <w:lang w:eastAsia="de-DE"/>
        </w:rPr>
        <w:t>innerhalb der letzten drei Jahre vor dem Zeitpunkt der Zuführung angeschafft oder hergestellt worden ist,</w:t>
      </w:r>
    </w:p>
    <w:p w:rsidR="00921771" w:rsidRPr="00921771" w:rsidRDefault="00921771" w:rsidP="00921771">
      <w:pPr>
        <w:spacing w:after="0" w:line="240" w:lineRule="auto"/>
        <w:ind w:left="720"/>
        <w:rPr>
          <w:rFonts w:ascii="Times New Roman" w:eastAsia="Times New Roman" w:hAnsi="Times New Roman" w:cs="Times New Roman"/>
          <w:sz w:val="24"/>
          <w:szCs w:val="24"/>
          <w:lang w:eastAsia="de-DE"/>
        </w:rPr>
      </w:pPr>
      <w:r w:rsidRPr="00921771">
        <w:rPr>
          <w:rFonts w:ascii="Times New Roman" w:eastAsia="Times New Roman" w:hAnsi="Times New Roman" w:cs="Times New Roman"/>
          <w:sz w:val="24"/>
          <w:szCs w:val="24"/>
          <w:lang w:eastAsia="de-DE"/>
        </w:rPr>
        <w:t>b)</w:t>
      </w:r>
    </w:p>
    <w:p w:rsidR="00921771" w:rsidRPr="00921771" w:rsidRDefault="00921771" w:rsidP="00921771">
      <w:pPr>
        <w:spacing w:after="0" w:line="240" w:lineRule="auto"/>
        <w:ind w:left="720"/>
        <w:rPr>
          <w:rFonts w:ascii="Times New Roman" w:eastAsia="Times New Roman" w:hAnsi="Times New Roman" w:cs="Times New Roman"/>
          <w:sz w:val="24"/>
          <w:szCs w:val="24"/>
          <w:lang w:eastAsia="de-DE"/>
        </w:rPr>
      </w:pPr>
      <w:r w:rsidRPr="00921771">
        <w:rPr>
          <w:rFonts w:ascii="Times New Roman" w:eastAsia="Times New Roman" w:hAnsi="Times New Roman" w:cs="Times New Roman"/>
          <w:sz w:val="24"/>
          <w:szCs w:val="24"/>
          <w:lang w:eastAsia="de-DE"/>
        </w:rPr>
        <w:t>ein Anteil an einer Kapitalgesellschaft ist und der Steuerpflichtige an der Gesellschaft im Sinne des § 17 Absatz 1 oder Absatz 6 beteiligt ist; § 17 Absatz 2 Satz 5 gilt entsprechend, oder</w:t>
      </w:r>
    </w:p>
    <w:p w:rsidR="00921771" w:rsidRPr="00921771" w:rsidRDefault="00921771" w:rsidP="00921771">
      <w:pPr>
        <w:spacing w:after="0" w:line="240" w:lineRule="auto"/>
        <w:ind w:left="720"/>
        <w:rPr>
          <w:rFonts w:ascii="Times New Roman" w:eastAsia="Times New Roman" w:hAnsi="Times New Roman" w:cs="Times New Roman"/>
          <w:sz w:val="24"/>
          <w:szCs w:val="24"/>
          <w:lang w:eastAsia="de-DE"/>
        </w:rPr>
      </w:pPr>
      <w:r w:rsidRPr="00921771">
        <w:rPr>
          <w:rFonts w:ascii="Times New Roman" w:eastAsia="Times New Roman" w:hAnsi="Times New Roman" w:cs="Times New Roman"/>
          <w:sz w:val="24"/>
          <w:szCs w:val="24"/>
          <w:lang w:eastAsia="de-DE"/>
        </w:rPr>
        <w:t>c)</w:t>
      </w:r>
    </w:p>
    <w:p w:rsidR="00921771" w:rsidRPr="00921771" w:rsidRDefault="00921771" w:rsidP="00921771">
      <w:pPr>
        <w:spacing w:after="0" w:line="240" w:lineRule="auto"/>
        <w:ind w:left="720"/>
        <w:rPr>
          <w:rFonts w:ascii="Times New Roman" w:eastAsia="Times New Roman" w:hAnsi="Times New Roman" w:cs="Times New Roman"/>
          <w:sz w:val="24"/>
          <w:szCs w:val="24"/>
          <w:lang w:eastAsia="de-DE"/>
        </w:rPr>
      </w:pPr>
      <w:r w:rsidRPr="00921771">
        <w:rPr>
          <w:rFonts w:ascii="Times New Roman" w:eastAsia="Times New Roman" w:hAnsi="Times New Roman" w:cs="Times New Roman"/>
          <w:sz w:val="24"/>
          <w:szCs w:val="24"/>
          <w:lang w:eastAsia="de-DE"/>
        </w:rPr>
        <w:t>ein Wirtschaftsgut im Sinne des § 20 Absatz 2 ist.</w:t>
      </w:r>
    </w:p>
    <w:p w:rsidR="00921771" w:rsidRPr="00921771" w:rsidRDefault="00921771" w:rsidP="00921771">
      <w:pPr>
        <w:spacing w:after="0" w:line="240" w:lineRule="auto"/>
        <w:ind w:left="720"/>
        <w:rPr>
          <w:rFonts w:ascii="Times New Roman" w:eastAsia="Times New Roman" w:hAnsi="Times New Roman" w:cs="Times New Roman"/>
          <w:sz w:val="24"/>
          <w:szCs w:val="24"/>
          <w:lang w:eastAsia="de-DE"/>
        </w:rPr>
      </w:pPr>
      <w:r w:rsidRPr="00921771">
        <w:rPr>
          <w:rFonts w:ascii="Times New Roman" w:eastAsia="Times New Roman" w:hAnsi="Times New Roman" w:cs="Times New Roman"/>
          <w:sz w:val="24"/>
          <w:szCs w:val="24"/>
          <w:vertAlign w:val="superscript"/>
          <w:lang w:eastAsia="de-DE"/>
        </w:rPr>
        <w:t>2</w:t>
      </w:r>
      <w:r w:rsidRPr="00921771">
        <w:rPr>
          <w:rFonts w:ascii="Times New Roman" w:eastAsia="Times New Roman" w:hAnsi="Times New Roman" w:cs="Times New Roman"/>
          <w:sz w:val="24"/>
          <w:szCs w:val="24"/>
          <w:lang w:eastAsia="de-DE"/>
        </w:rPr>
        <w:t xml:space="preserve">Ist die Einlage ein abnutzbares Wirtschaftsgut, so sind die Anschaffungs- oder Herstellungskosten um Absetzungen für Abnutzung zu kürzen, die auf den Zeitraum zwischen der Anschaffung oder Herstellung des Wirtschaftsguts und der Einlage </w:t>
      </w:r>
      <w:r w:rsidRPr="00921771">
        <w:rPr>
          <w:rFonts w:ascii="Times New Roman" w:eastAsia="Times New Roman" w:hAnsi="Times New Roman" w:cs="Times New Roman"/>
          <w:sz w:val="24"/>
          <w:szCs w:val="24"/>
          <w:lang w:eastAsia="de-DE"/>
        </w:rPr>
        <w:lastRenderedPageBreak/>
        <w:t xml:space="preserve">entfallen. </w:t>
      </w:r>
      <w:r w:rsidRPr="00921771">
        <w:rPr>
          <w:rFonts w:ascii="Times New Roman" w:eastAsia="Times New Roman" w:hAnsi="Times New Roman" w:cs="Times New Roman"/>
          <w:sz w:val="24"/>
          <w:szCs w:val="24"/>
          <w:vertAlign w:val="superscript"/>
          <w:lang w:eastAsia="de-DE"/>
        </w:rPr>
        <w:t>3</w:t>
      </w:r>
      <w:r w:rsidRPr="00921771">
        <w:rPr>
          <w:rFonts w:ascii="Times New Roman" w:eastAsia="Times New Roman" w:hAnsi="Times New Roman" w:cs="Times New Roman"/>
          <w:sz w:val="24"/>
          <w:szCs w:val="24"/>
          <w:lang w:eastAsia="de-DE"/>
        </w:rPr>
        <w:t>Ist die Einlage ein Wirtschaftsgut, das vor der Zuführung aus einem Betriebsvermögen des Steuerpflichtigen entnommen worden ist, so tritt an die Stelle der Anschaffungs- oder Herstellungskosten der Wert, mit dem die Entnahme angesetzt worden ist, und an die Stelle des Zeitpunkts der Anschaffung oder Herstellung der Zeitpunkt der Entnahme.</w:t>
      </w:r>
    </w:p>
    <w:p w:rsidR="00921771" w:rsidRPr="00921771" w:rsidRDefault="00921771" w:rsidP="00921771">
      <w:pPr>
        <w:spacing w:after="0" w:line="240" w:lineRule="auto"/>
        <w:rPr>
          <w:rFonts w:ascii="Times New Roman" w:eastAsia="Times New Roman" w:hAnsi="Times New Roman" w:cs="Times New Roman"/>
          <w:sz w:val="24"/>
          <w:szCs w:val="24"/>
          <w:lang w:eastAsia="de-DE"/>
        </w:rPr>
      </w:pPr>
      <w:r w:rsidRPr="00921771">
        <w:rPr>
          <w:rFonts w:ascii="Times New Roman" w:eastAsia="Times New Roman" w:hAnsi="Times New Roman" w:cs="Times New Roman"/>
          <w:sz w:val="24"/>
          <w:szCs w:val="24"/>
          <w:lang w:eastAsia="de-DE"/>
        </w:rPr>
        <w:t>5a.</w:t>
      </w:r>
    </w:p>
    <w:p w:rsidR="00921771" w:rsidRPr="00921771" w:rsidRDefault="00921771" w:rsidP="00921771">
      <w:pPr>
        <w:spacing w:after="0" w:line="240" w:lineRule="auto"/>
        <w:ind w:left="720"/>
        <w:rPr>
          <w:rFonts w:ascii="Times New Roman" w:eastAsia="Times New Roman" w:hAnsi="Times New Roman" w:cs="Times New Roman"/>
          <w:sz w:val="24"/>
          <w:szCs w:val="24"/>
          <w:lang w:eastAsia="de-DE"/>
        </w:rPr>
      </w:pPr>
      <w:r w:rsidRPr="00921771">
        <w:rPr>
          <w:rFonts w:ascii="Times New Roman" w:eastAsia="Times New Roman" w:hAnsi="Times New Roman" w:cs="Times New Roman"/>
          <w:sz w:val="24"/>
          <w:szCs w:val="24"/>
          <w:lang w:eastAsia="de-DE"/>
        </w:rPr>
        <w:t>In den Fällen des § 4 Absatz 1 Satz 8 zweiter Halbsatz ist das Wirtschaftsgut mit dem gemeinen Wert anzusetzen.</w:t>
      </w:r>
    </w:p>
    <w:p w:rsidR="00921771" w:rsidRPr="00921771" w:rsidRDefault="00921771" w:rsidP="00921771">
      <w:pPr>
        <w:spacing w:after="0" w:line="240" w:lineRule="auto"/>
        <w:rPr>
          <w:rFonts w:ascii="Times New Roman" w:eastAsia="Times New Roman" w:hAnsi="Times New Roman" w:cs="Times New Roman"/>
          <w:sz w:val="24"/>
          <w:szCs w:val="24"/>
          <w:lang w:eastAsia="de-DE"/>
        </w:rPr>
      </w:pPr>
      <w:r w:rsidRPr="00921771">
        <w:rPr>
          <w:rFonts w:ascii="Times New Roman" w:eastAsia="Times New Roman" w:hAnsi="Times New Roman" w:cs="Times New Roman"/>
          <w:sz w:val="24"/>
          <w:szCs w:val="24"/>
          <w:lang w:eastAsia="de-DE"/>
        </w:rPr>
        <w:t>6.</w:t>
      </w:r>
    </w:p>
    <w:p w:rsidR="00921771" w:rsidRPr="00921771" w:rsidRDefault="00921771" w:rsidP="00921771">
      <w:pPr>
        <w:spacing w:after="0" w:line="240" w:lineRule="auto"/>
        <w:ind w:left="720"/>
        <w:rPr>
          <w:rFonts w:ascii="Times New Roman" w:eastAsia="Times New Roman" w:hAnsi="Times New Roman" w:cs="Times New Roman"/>
          <w:sz w:val="24"/>
          <w:szCs w:val="24"/>
          <w:lang w:eastAsia="de-DE"/>
        </w:rPr>
      </w:pPr>
      <w:r w:rsidRPr="00921771">
        <w:rPr>
          <w:rFonts w:ascii="Times New Roman" w:eastAsia="Times New Roman" w:hAnsi="Times New Roman" w:cs="Times New Roman"/>
          <w:sz w:val="24"/>
          <w:szCs w:val="24"/>
          <w:lang w:eastAsia="de-DE"/>
        </w:rPr>
        <w:t>Bei Eröffnung eines Betriebs ist Nummer 5 entsprechend anzuwenden.</w:t>
      </w:r>
    </w:p>
    <w:p w:rsidR="00921771" w:rsidRPr="00921771" w:rsidRDefault="00921771" w:rsidP="00921771">
      <w:pPr>
        <w:spacing w:after="0" w:line="240" w:lineRule="auto"/>
        <w:rPr>
          <w:rFonts w:ascii="Times New Roman" w:eastAsia="Times New Roman" w:hAnsi="Times New Roman" w:cs="Times New Roman"/>
          <w:sz w:val="24"/>
          <w:szCs w:val="24"/>
          <w:lang w:eastAsia="de-DE"/>
        </w:rPr>
      </w:pPr>
      <w:r w:rsidRPr="00921771">
        <w:rPr>
          <w:rFonts w:ascii="Times New Roman" w:eastAsia="Times New Roman" w:hAnsi="Times New Roman" w:cs="Times New Roman"/>
          <w:sz w:val="24"/>
          <w:szCs w:val="24"/>
          <w:lang w:eastAsia="de-DE"/>
        </w:rPr>
        <w:t>7.</w:t>
      </w:r>
    </w:p>
    <w:p w:rsidR="00921771" w:rsidRPr="00921771" w:rsidRDefault="00921771" w:rsidP="00921771">
      <w:pPr>
        <w:spacing w:after="0" w:line="240" w:lineRule="auto"/>
        <w:ind w:left="720"/>
        <w:rPr>
          <w:rFonts w:ascii="Times New Roman" w:eastAsia="Times New Roman" w:hAnsi="Times New Roman" w:cs="Times New Roman"/>
          <w:sz w:val="24"/>
          <w:szCs w:val="24"/>
          <w:lang w:eastAsia="de-DE"/>
        </w:rPr>
      </w:pPr>
      <w:r w:rsidRPr="00921771">
        <w:rPr>
          <w:rFonts w:ascii="Times New Roman" w:eastAsia="Times New Roman" w:hAnsi="Times New Roman" w:cs="Times New Roman"/>
          <w:sz w:val="24"/>
          <w:szCs w:val="24"/>
          <w:lang w:eastAsia="de-DE"/>
        </w:rPr>
        <w:t>Bei entgeltlichem Erwerb eines Betriebs sind die Wirtschaftsgüter mit dem Teilwert, höchstens jedoch mit den Anschaffungs- oder Herstellungskosten anzusetzen.</w:t>
      </w:r>
    </w:p>
    <w:p w:rsidR="00921771" w:rsidRPr="00921771" w:rsidRDefault="00921771" w:rsidP="00921771">
      <w:pPr>
        <w:spacing w:after="0" w:line="240" w:lineRule="auto"/>
        <w:rPr>
          <w:rFonts w:ascii="Times New Roman" w:eastAsia="Times New Roman" w:hAnsi="Times New Roman" w:cs="Times New Roman"/>
          <w:sz w:val="24"/>
          <w:szCs w:val="24"/>
          <w:lang w:eastAsia="de-DE"/>
        </w:rPr>
      </w:pPr>
      <w:r w:rsidRPr="00921771">
        <w:rPr>
          <w:rFonts w:ascii="Times New Roman" w:eastAsia="Times New Roman" w:hAnsi="Times New Roman" w:cs="Times New Roman"/>
          <w:sz w:val="24"/>
          <w:szCs w:val="24"/>
          <w:lang w:eastAsia="de-DE"/>
        </w:rPr>
        <w:t xml:space="preserve">(2) </w:t>
      </w:r>
      <w:r w:rsidRPr="00921771">
        <w:rPr>
          <w:rFonts w:ascii="Times New Roman" w:eastAsia="Times New Roman" w:hAnsi="Times New Roman" w:cs="Times New Roman"/>
          <w:sz w:val="24"/>
          <w:szCs w:val="24"/>
          <w:vertAlign w:val="superscript"/>
          <w:lang w:eastAsia="de-DE"/>
        </w:rPr>
        <w:t>1</w:t>
      </w:r>
      <w:r w:rsidRPr="00921771">
        <w:rPr>
          <w:rFonts w:ascii="Times New Roman" w:eastAsia="Times New Roman" w:hAnsi="Times New Roman" w:cs="Times New Roman"/>
          <w:sz w:val="24"/>
          <w:szCs w:val="24"/>
          <w:lang w:eastAsia="de-DE"/>
        </w:rPr>
        <w:t xml:space="preserve">Die Anschaffungs- oder Herstellungskosten oder der nach Absatz 1 Nummer 5 bis 6 an deren Stelle tretende Wert von abnutzbaren beweglichen Wirtschaftsgütern des Anlagevermögens, die einer selbständigen Nutzung fähig sind, können im Wirtschaftsjahr der Anschaffung, Herstellung oder Einlage des Wirtschaftsguts oder der Eröffnung des Betriebs in voller Höhe als Betriebsausgaben abgezogen werden, wenn die Anschaffungs- oder Herstellungskosten, vermindert um einen darin enthaltenen Vorsteuerbetrag (§ 9b Absatz 1), oder der nach Absatz 1 Nummer 5 bis 6 an deren Stelle tretende Wert für das einzelne Wirtschaftsgut 410 Euro nicht übersteigen. </w:t>
      </w:r>
      <w:r w:rsidRPr="00921771">
        <w:rPr>
          <w:rFonts w:ascii="Times New Roman" w:eastAsia="Times New Roman" w:hAnsi="Times New Roman" w:cs="Times New Roman"/>
          <w:sz w:val="24"/>
          <w:szCs w:val="24"/>
          <w:vertAlign w:val="superscript"/>
          <w:lang w:eastAsia="de-DE"/>
        </w:rPr>
        <w:t>2</w:t>
      </w:r>
      <w:r w:rsidRPr="00921771">
        <w:rPr>
          <w:rFonts w:ascii="Times New Roman" w:eastAsia="Times New Roman" w:hAnsi="Times New Roman" w:cs="Times New Roman"/>
          <w:sz w:val="24"/>
          <w:szCs w:val="24"/>
          <w:lang w:eastAsia="de-DE"/>
        </w:rPr>
        <w:t xml:space="preserve">Ein Wirtschaftsgut ist einer selbständigen Nutzung nicht fähig, wenn es nach seiner betrieblichen Zweckbestimmung nur zusammen mit anderen Wirtschaftsgütern des Anlagevermögens genutzt werden kann und die in den Nutzungszusammenhang eingefügten Wirtschaftsgüter technisch aufeinander abgestimmt sind. </w:t>
      </w:r>
      <w:r w:rsidRPr="00921771">
        <w:rPr>
          <w:rFonts w:ascii="Times New Roman" w:eastAsia="Times New Roman" w:hAnsi="Times New Roman" w:cs="Times New Roman"/>
          <w:sz w:val="24"/>
          <w:szCs w:val="24"/>
          <w:vertAlign w:val="superscript"/>
          <w:lang w:eastAsia="de-DE"/>
        </w:rPr>
        <w:t>3</w:t>
      </w:r>
      <w:r w:rsidRPr="00921771">
        <w:rPr>
          <w:rFonts w:ascii="Times New Roman" w:eastAsia="Times New Roman" w:hAnsi="Times New Roman" w:cs="Times New Roman"/>
          <w:sz w:val="24"/>
          <w:szCs w:val="24"/>
          <w:lang w:eastAsia="de-DE"/>
        </w:rPr>
        <w:t xml:space="preserve">Das gilt auch, wenn das Wirtschaftsgut aus dem betrieblichen Nutzungszusammenhang gelöst und in einen anderen betrieblichen Nutzungszusammenhang eingefügt werden kann. </w:t>
      </w:r>
      <w:r w:rsidRPr="00921771">
        <w:rPr>
          <w:rFonts w:ascii="Times New Roman" w:eastAsia="Times New Roman" w:hAnsi="Times New Roman" w:cs="Times New Roman"/>
          <w:sz w:val="24"/>
          <w:szCs w:val="24"/>
          <w:vertAlign w:val="superscript"/>
          <w:lang w:eastAsia="de-DE"/>
        </w:rPr>
        <w:t>4</w:t>
      </w:r>
      <w:r w:rsidRPr="00921771">
        <w:rPr>
          <w:rFonts w:ascii="Times New Roman" w:eastAsia="Times New Roman" w:hAnsi="Times New Roman" w:cs="Times New Roman"/>
          <w:sz w:val="24"/>
          <w:szCs w:val="24"/>
          <w:lang w:eastAsia="de-DE"/>
        </w:rPr>
        <w:t xml:space="preserve">Wirtschaftsgüter im Sinne des Satzes 1, deren Wert 150 Euro übersteigt, sind unter Angabe des Tages der Anschaffung, Herstellung oder Einlage des Wirtschaftsguts oder der Eröffnung des Betriebs und der Anschaffungs- oder Herstellungskosten oder des nach Absatz 1 Nummer 5 bis 6 an deren Stelle tretenden Werts in ein besonderes, laufend zu führendes Verzeichnis aufzunehmen. </w:t>
      </w:r>
      <w:r w:rsidRPr="00921771">
        <w:rPr>
          <w:rFonts w:ascii="Times New Roman" w:eastAsia="Times New Roman" w:hAnsi="Times New Roman" w:cs="Times New Roman"/>
          <w:sz w:val="24"/>
          <w:szCs w:val="24"/>
          <w:vertAlign w:val="superscript"/>
          <w:lang w:eastAsia="de-DE"/>
        </w:rPr>
        <w:t>5</w:t>
      </w:r>
      <w:r w:rsidRPr="00921771">
        <w:rPr>
          <w:rFonts w:ascii="Times New Roman" w:eastAsia="Times New Roman" w:hAnsi="Times New Roman" w:cs="Times New Roman"/>
          <w:sz w:val="24"/>
          <w:szCs w:val="24"/>
          <w:lang w:eastAsia="de-DE"/>
        </w:rPr>
        <w:t>Das Verzeichnis braucht nicht geführt zu werden, wenn diese Angaben aus der Buchführung ersichtlich sind.</w:t>
      </w:r>
    </w:p>
    <w:p w:rsidR="00921771" w:rsidRPr="00921771" w:rsidRDefault="00921771" w:rsidP="00921771">
      <w:pPr>
        <w:spacing w:after="0" w:line="240" w:lineRule="auto"/>
        <w:rPr>
          <w:rFonts w:ascii="Times New Roman" w:eastAsia="Times New Roman" w:hAnsi="Times New Roman" w:cs="Times New Roman"/>
          <w:sz w:val="24"/>
          <w:szCs w:val="24"/>
          <w:lang w:eastAsia="de-DE"/>
        </w:rPr>
      </w:pPr>
      <w:r w:rsidRPr="00921771">
        <w:rPr>
          <w:rFonts w:ascii="Times New Roman" w:eastAsia="Times New Roman" w:hAnsi="Times New Roman" w:cs="Times New Roman"/>
          <w:sz w:val="24"/>
          <w:szCs w:val="24"/>
          <w:lang w:eastAsia="de-DE"/>
        </w:rPr>
        <w:t xml:space="preserve">(2a) </w:t>
      </w:r>
      <w:r w:rsidRPr="00921771">
        <w:rPr>
          <w:rFonts w:ascii="Times New Roman" w:eastAsia="Times New Roman" w:hAnsi="Times New Roman" w:cs="Times New Roman"/>
          <w:sz w:val="24"/>
          <w:szCs w:val="24"/>
          <w:vertAlign w:val="superscript"/>
          <w:lang w:eastAsia="de-DE"/>
        </w:rPr>
        <w:t>1</w:t>
      </w:r>
      <w:r w:rsidRPr="00921771">
        <w:rPr>
          <w:rFonts w:ascii="Times New Roman" w:eastAsia="Times New Roman" w:hAnsi="Times New Roman" w:cs="Times New Roman"/>
          <w:sz w:val="24"/>
          <w:szCs w:val="24"/>
          <w:lang w:eastAsia="de-DE"/>
        </w:rPr>
        <w:t xml:space="preserve">Abweichend von Absatz 2 Satz 1 kann für die abnutzbaren beweglichen Wirtschaftsgüter des Anlagevermögens, die einer selbständigen Nutzung fähig sind, im Wirtschaftsjahr der Anschaffung, Herstellung oder Einlage des Wirtschaftsguts oder der Eröffnung des Betriebs ein Sammelposten gebildet werden, wenn die Anschaffungs- oder Herstellungskosten, vermindert um einen darin enthaltenen Vorsteuerbetrag (§ 9b Absatz 1), oder der nach Absatz 1 Nummer 5 bis 6 an deren Stelle tretende Wert für das einzelne Wirtschaftsgut 150 Euro, aber nicht 1 000 Euro übersteigen. </w:t>
      </w:r>
      <w:r w:rsidRPr="00921771">
        <w:rPr>
          <w:rFonts w:ascii="Times New Roman" w:eastAsia="Times New Roman" w:hAnsi="Times New Roman" w:cs="Times New Roman"/>
          <w:sz w:val="24"/>
          <w:szCs w:val="24"/>
          <w:vertAlign w:val="superscript"/>
          <w:lang w:eastAsia="de-DE"/>
        </w:rPr>
        <w:t>2</w:t>
      </w:r>
      <w:r w:rsidRPr="00921771">
        <w:rPr>
          <w:rFonts w:ascii="Times New Roman" w:eastAsia="Times New Roman" w:hAnsi="Times New Roman" w:cs="Times New Roman"/>
          <w:sz w:val="24"/>
          <w:szCs w:val="24"/>
          <w:lang w:eastAsia="de-DE"/>
        </w:rPr>
        <w:t xml:space="preserve">Der Sammelposten ist im Wirtschaftsjahr der Bildung und den folgenden vier Wirtschaftsjahren mit jeweils einem Fünftel gewinnmindernd aufzulösen. </w:t>
      </w:r>
      <w:r w:rsidRPr="00921771">
        <w:rPr>
          <w:rFonts w:ascii="Times New Roman" w:eastAsia="Times New Roman" w:hAnsi="Times New Roman" w:cs="Times New Roman"/>
          <w:sz w:val="24"/>
          <w:szCs w:val="24"/>
          <w:vertAlign w:val="superscript"/>
          <w:lang w:eastAsia="de-DE"/>
        </w:rPr>
        <w:t>3</w:t>
      </w:r>
      <w:r w:rsidRPr="00921771">
        <w:rPr>
          <w:rFonts w:ascii="Times New Roman" w:eastAsia="Times New Roman" w:hAnsi="Times New Roman" w:cs="Times New Roman"/>
          <w:sz w:val="24"/>
          <w:szCs w:val="24"/>
          <w:lang w:eastAsia="de-DE"/>
        </w:rPr>
        <w:t xml:space="preserve">Scheidet ein Wirtschaftsgut im Sinne des Satzes 1 aus dem Betriebsvermögen aus, wird der Sammelposten nicht vermindert. </w:t>
      </w:r>
      <w:r w:rsidRPr="00921771">
        <w:rPr>
          <w:rFonts w:ascii="Times New Roman" w:eastAsia="Times New Roman" w:hAnsi="Times New Roman" w:cs="Times New Roman"/>
          <w:sz w:val="24"/>
          <w:szCs w:val="24"/>
          <w:vertAlign w:val="superscript"/>
          <w:lang w:eastAsia="de-DE"/>
        </w:rPr>
        <w:t>4</w:t>
      </w:r>
      <w:r w:rsidRPr="00921771">
        <w:rPr>
          <w:rFonts w:ascii="Times New Roman" w:eastAsia="Times New Roman" w:hAnsi="Times New Roman" w:cs="Times New Roman"/>
          <w:sz w:val="24"/>
          <w:szCs w:val="24"/>
          <w:lang w:eastAsia="de-DE"/>
        </w:rPr>
        <w:t xml:space="preserve">Die Anschaffungs- oder Herstellungskosten oder der nach Absatz 1 Nummer 5 bis 6 an deren Stelle tretende Wert von abnutzbaren beweglichen Wirtschaftsgütern des Anlagevermögens, die einer selbständigen Nutzung fähig sind, können im Wirtschaftsjahr der Anschaffung, Herstellung oder Einlage des Wirtschaftsguts oder der Eröffnung des Betriebs in voller Höhe als Betriebsausgaben abgezogen werden, wenn die Anschaffungs- oder Herstellungskosten, vermindert um einen darin enthaltenen Vorsteuerbetrag (§ 9b Absatz 1), oder der nach Absatz 1 Nummer 5 bis 6 an deren Stelle tretende Wert für das einzelne Wirtschaftsgut 150 Euro nicht übersteigen. </w:t>
      </w:r>
      <w:r w:rsidRPr="00921771">
        <w:rPr>
          <w:rFonts w:ascii="Times New Roman" w:eastAsia="Times New Roman" w:hAnsi="Times New Roman" w:cs="Times New Roman"/>
          <w:sz w:val="24"/>
          <w:szCs w:val="24"/>
          <w:vertAlign w:val="superscript"/>
          <w:lang w:eastAsia="de-DE"/>
        </w:rPr>
        <w:t>5</w:t>
      </w:r>
      <w:r w:rsidRPr="00921771">
        <w:rPr>
          <w:rFonts w:ascii="Times New Roman" w:eastAsia="Times New Roman" w:hAnsi="Times New Roman" w:cs="Times New Roman"/>
          <w:sz w:val="24"/>
          <w:szCs w:val="24"/>
          <w:lang w:eastAsia="de-DE"/>
        </w:rPr>
        <w:t xml:space="preserve">Die Sätze 1 bis 3 sind für alle in einem Wirtschaftsjahr angeschafften, </w:t>
      </w:r>
      <w:proofErr w:type="gramStart"/>
      <w:r w:rsidRPr="00921771">
        <w:rPr>
          <w:rFonts w:ascii="Times New Roman" w:eastAsia="Times New Roman" w:hAnsi="Times New Roman" w:cs="Times New Roman"/>
          <w:sz w:val="24"/>
          <w:szCs w:val="24"/>
          <w:lang w:eastAsia="de-DE"/>
        </w:rPr>
        <w:t>hergestellten oder eingelegten</w:t>
      </w:r>
      <w:proofErr w:type="gramEnd"/>
      <w:r w:rsidRPr="00921771">
        <w:rPr>
          <w:rFonts w:ascii="Times New Roman" w:eastAsia="Times New Roman" w:hAnsi="Times New Roman" w:cs="Times New Roman"/>
          <w:sz w:val="24"/>
          <w:szCs w:val="24"/>
          <w:lang w:eastAsia="de-DE"/>
        </w:rPr>
        <w:t xml:space="preserve"> Wirtschaftsgüter einheitlich anzuwenden.</w:t>
      </w:r>
    </w:p>
    <w:p w:rsidR="00921771" w:rsidRPr="00921771" w:rsidRDefault="00921771" w:rsidP="00921771">
      <w:pPr>
        <w:spacing w:after="0" w:line="240" w:lineRule="auto"/>
        <w:rPr>
          <w:rFonts w:ascii="Times New Roman" w:eastAsia="Times New Roman" w:hAnsi="Times New Roman" w:cs="Times New Roman"/>
          <w:sz w:val="24"/>
          <w:szCs w:val="24"/>
          <w:lang w:eastAsia="de-DE"/>
        </w:rPr>
      </w:pPr>
      <w:r w:rsidRPr="00921771">
        <w:rPr>
          <w:rFonts w:ascii="Times New Roman" w:eastAsia="Times New Roman" w:hAnsi="Times New Roman" w:cs="Times New Roman"/>
          <w:sz w:val="24"/>
          <w:szCs w:val="24"/>
          <w:lang w:eastAsia="de-DE"/>
        </w:rPr>
        <w:lastRenderedPageBreak/>
        <w:t xml:space="preserve">(3) </w:t>
      </w:r>
      <w:r w:rsidRPr="00921771">
        <w:rPr>
          <w:rFonts w:ascii="Times New Roman" w:eastAsia="Times New Roman" w:hAnsi="Times New Roman" w:cs="Times New Roman"/>
          <w:sz w:val="24"/>
          <w:szCs w:val="24"/>
          <w:vertAlign w:val="superscript"/>
          <w:lang w:eastAsia="de-DE"/>
        </w:rPr>
        <w:t>1</w:t>
      </w:r>
      <w:r w:rsidRPr="00921771">
        <w:rPr>
          <w:rFonts w:ascii="Times New Roman" w:eastAsia="Times New Roman" w:hAnsi="Times New Roman" w:cs="Times New Roman"/>
          <w:sz w:val="24"/>
          <w:szCs w:val="24"/>
          <w:lang w:eastAsia="de-DE"/>
        </w:rPr>
        <w:t xml:space="preserve">Wird ein Betrieb, ein Teilbetrieb oder der Anteil eines Mitunternehmers an einem Betrieb unentgeltlich übertragen, so sind bei der Ermittlung des Gewinns des bisherigen Betriebsinhabers (Mitunternehmers) die Wirtschaftsgüter mit den Werten anzusetzen, die sich nach den Vorschriften über die Gewinnermittlung ergeben; dies gilt auch bei der unentgeltlichen Aufnahme einer natürlichen Person in ein bestehendes Einzelunternehmen sowie bei der unentgeltlichen Übertragung eines Teils eines </w:t>
      </w:r>
      <w:proofErr w:type="spellStart"/>
      <w:r w:rsidRPr="00921771">
        <w:rPr>
          <w:rFonts w:ascii="Times New Roman" w:eastAsia="Times New Roman" w:hAnsi="Times New Roman" w:cs="Times New Roman"/>
          <w:sz w:val="24"/>
          <w:szCs w:val="24"/>
          <w:lang w:eastAsia="de-DE"/>
        </w:rPr>
        <w:t>Mitunternehmeranteils</w:t>
      </w:r>
      <w:proofErr w:type="spellEnd"/>
      <w:r w:rsidRPr="00921771">
        <w:rPr>
          <w:rFonts w:ascii="Times New Roman" w:eastAsia="Times New Roman" w:hAnsi="Times New Roman" w:cs="Times New Roman"/>
          <w:sz w:val="24"/>
          <w:szCs w:val="24"/>
          <w:lang w:eastAsia="de-DE"/>
        </w:rPr>
        <w:t xml:space="preserve"> auf eine natürliche Person. </w:t>
      </w:r>
      <w:r w:rsidRPr="00921771">
        <w:rPr>
          <w:rFonts w:ascii="Times New Roman" w:eastAsia="Times New Roman" w:hAnsi="Times New Roman" w:cs="Times New Roman"/>
          <w:sz w:val="24"/>
          <w:szCs w:val="24"/>
          <w:vertAlign w:val="superscript"/>
          <w:lang w:eastAsia="de-DE"/>
        </w:rPr>
        <w:t>2</w:t>
      </w:r>
      <w:r w:rsidRPr="00921771">
        <w:rPr>
          <w:rFonts w:ascii="Times New Roman" w:eastAsia="Times New Roman" w:hAnsi="Times New Roman" w:cs="Times New Roman"/>
          <w:sz w:val="24"/>
          <w:szCs w:val="24"/>
          <w:lang w:eastAsia="de-DE"/>
        </w:rPr>
        <w:t xml:space="preserve">Satz 1 ist auch anzuwenden, wenn der bisherige Betriebsinhaber (Mitunternehmer) Wirtschaftsgüter, die weiterhin zum Betriebsvermögen derselben </w:t>
      </w:r>
      <w:proofErr w:type="spellStart"/>
      <w:r w:rsidRPr="00921771">
        <w:rPr>
          <w:rFonts w:ascii="Times New Roman" w:eastAsia="Times New Roman" w:hAnsi="Times New Roman" w:cs="Times New Roman"/>
          <w:sz w:val="24"/>
          <w:szCs w:val="24"/>
          <w:lang w:eastAsia="de-DE"/>
        </w:rPr>
        <w:t>Mitunternehmerschaft</w:t>
      </w:r>
      <w:proofErr w:type="spellEnd"/>
      <w:r w:rsidRPr="00921771">
        <w:rPr>
          <w:rFonts w:ascii="Times New Roman" w:eastAsia="Times New Roman" w:hAnsi="Times New Roman" w:cs="Times New Roman"/>
          <w:sz w:val="24"/>
          <w:szCs w:val="24"/>
          <w:lang w:eastAsia="de-DE"/>
        </w:rPr>
        <w:t xml:space="preserve"> gehören, nicht überträgt, sofern der Rechtsnachfolger den übernommenen </w:t>
      </w:r>
      <w:proofErr w:type="spellStart"/>
      <w:r w:rsidRPr="00921771">
        <w:rPr>
          <w:rFonts w:ascii="Times New Roman" w:eastAsia="Times New Roman" w:hAnsi="Times New Roman" w:cs="Times New Roman"/>
          <w:sz w:val="24"/>
          <w:szCs w:val="24"/>
          <w:lang w:eastAsia="de-DE"/>
        </w:rPr>
        <w:t>Mitunternehmeranteil</w:t>
      </w:r>
      <w:proofErr w:type="spellEnd"/>
      <w:r w:rsidRPr="00921771">
        <w:rPr>
          <w:rFonts w:ascii="Times New Roman" w:eastAsia="Times New Roman" w:hAnsi="Times New Roman" w:cs="Times New Roman"/>
          <w:sz w:val="24"/>
          <w:szCs w:val="24"/>
          <w:lang w:eastAsia="de-DE"/>
        </w:rPr>
        <w:t xml:space="preserve"> über einen Zeitraum von mindestens fünf Jahren nicht veräußert oder aufgibt. </w:t>
      </w:r>
      <w:r w:rsidRPr="00921771">
        <w:rPr>
          <w:rFonts w:ascii="Times New Roman" w:eastAsia="Times New Roman" w:hAnsi="Times New Roman" w:cs="Times New Roman"/>
          <w:sz w:val="24"/>
          <w:szCs w:val="24"/>
          <w:vertAlign w:val="superscript"/>
          <w:lang w:eastAsia="de-DE"/>
        </w:rPr>
        <w:t>3</w:t>
      </w:r>
      <w:r w:rsidRPr="00921771">
        <w:rPr>
          <w:rFonts w:ascii="Times New Roman" w:eastAsia="Times New Roman" w:hAnsi="Times New Roman" w:cs="Times New Roman"/>
          <w:sz w:val="24"/>
          <w:szCs w:val="24"/>
          <w:lang w:eastAsia="de-DE"/>
        </w:rPr>
        <w:t>Der Rechtsnachfolger ist an die in Satz 1 genannten Werte gebunden.</w:t>
      </w:r>
    </w:p>
    <w:p w:rsidR="00921771" w:rsidRPr="00921771" w:rsidRDefault="00921771" w:rsidP="00921771">
      <w:pPr>
        <w:spacing w:after="0" w:line="240" w:lineRule="auto"/>
        <w:rPr>
          <w:rFonts w:ascii="Times New Roman" w:eastAsia="Times New Roman" w:hAnsi="Times New Roman" w:cs="Times New Roman"/>
          <w:sz w:val="24"/>
          <w:szCs w:val="24"/>
          <w:lang w:eastAsia="de-DE"/>
        </w:rPr>
      </w:pPr>
      <w:r w:rsidRPr="00921771">
        <w:rPr>
          <w:rFonts w:ascii="Times New Roman" w:eastAsia="Times New Roman" w:hAnsi="Times New Roman" w:cs="Times New Roman"/>
          <w:sz w:val="24"/>
          <w:szCs w:val="24"/>
          <w:lang w:eastAsia="de-DE"/>
        </w:rPr>
        <w:t>(4) Wird ein einzelnes Wirtschaftsgut außer in den Fällen der Einlage (§ 4 Absatz 1 Satz 8) unentgeltlich in das Betriebsvermögen eines anderen Steuerpflichtigen übertragen, gilt sein gemeiner Wert für das aufnehmende Betriebsvermögen als Anschaffungskosten.</w:t>
      </w:r>
    </w:p>
    <w:p w:rsidR="00921771" w:rsidRPr="00921771" w:rsidRDefault="00921771" w:rsidP="00921771">
      <w:pPr>
        <w:spacing w:after="0" w:line="240" w:lineRule="auto"/>
        <w:rPr>
          <w:rFonts w:ascii="Times New Roman" w:eastAsia="Times New Roman" w:hAnsi="Times New Roman" w:cs="Times New Roman"/>
          <w:sz w:val="24"/>
          <w:szCs w:val="24"/>
          <w:lang w:eastAsia="de-DE"/>
        </w:rPr>
      </w:pPr>
      <w:r w:rsidRPr="00921771">
        <w:rPr>
          <w:rFonts w:ascii="Times New Roman" w:eastAsia="Times New Roman" w:hAnsi="Times New Roman" w:cs="Times New Roman"/>
          <w:sz w:val="24"/>
          <w:szCs w:val="24"/>
          <w:lang w:eastAsia="de-DE"/>
        </w:rPr>
        <w:t xml:space="preserve">(5) </w:t>
      </w:r>
      <w:r w:rsidRPr="00921771">
        <w:rPr>
          <w:rFonts w:ascii="Times New Roman" w:eastAsia="Times New Roman" w:hAnsi="Times New Roman" w:cs="Times New Roman"/>
          <w:sz w:val="24"/>
          <w:szCs w:val="24"/>
          <w:vertAlign w:val="superscript"/>
          <w:lang w:eastAsia="de-DE"/>
        </w:rPr>
        <w:t>1</w:t>
      </w:r>
      <w:r w:rsidRPr="00921771">
        <w:rPr>
          <w:rFonts w:ascii="Times New Roman" w:eastAsia="Times New Roman" w:hAnsi="Times New Roman" w:cs="Times New Roman"/>
          <w:sz w:val="24"/>
          <w:szCs w:val="24"/>
          <w:lang w:eastAsia="de-DE"/>
        </w:rPr>
        <w:t xml:space="preserve">Wird ein einzelnes Wirtschaftsgut von einem Betriebsvermögen in ein anderes Betriebsvermögen desselben Steuerpflichtigen überführt, ist bei der Überführung der Wert anzusetzen, der sich nach den Vorschriften über die Gewinnermittlung ergibt, sofern die Besteuerung der stillen Reserven sichergestellt ist; § 4 Absatz 1 Satz 4 ist entsprechend anzuwenden. </w:t>
      </w:r>
      <w:r w:rsidRPr="00921771">
        <w:rPr>
          <w:rFonts w:ascii="Times New Roman" w:eastAsia="Times New Roman" w:hAnsi="Times New Roman" w:cs="Times New Roman"/>
          <w:sz w:val="24"/>
          <w:szCs w:val="24"/>
          <w:vertAlign w:val="superscript"/>
          <w:lang w:eastAsia="de-DE"/>
        </w:rPr>
        <w:t>2</w:t>
      </w:r>
      <w:r w:rsidRPr="00921771">
        <w:rPr>
          <w:rFonts w:ascii="Times New Roman" w:eastAsia="Times New Roman" w:hAnsi="Times New Roman" w:cs="Times New Roman"/>
          <w:sz w:val="24"/>
          <w:szCs w:val="24"/>
          <w:lang w:eastAsia="de-DE"/>
        </w:rPr>
        <w:t xml:space="preserve">Satz 1 gilt auch für die Überführung aus einem eigenen Betriebsvermögen des Steuerpflichtigen in dessen Sonderbetriebsvermögen bei einer </w:t>
      </w:r>
      <w:proofErr w:type="spellStart"/>
      <w:r w:rsidRPr="00921771">
        <w:rPr>
          <w:rFonts w:ascii="Times New Roman" w:eastAsia="Times New Roman" w:hAnsi="Times New Roman" w:cs="Times New Roman"/>
          <w:sz w:val="24"/>
          <w:szCs w:val="24"/>
          <w:lang w:eastAsia="de-DE"/>
        </w:rPr>
        <w:t>Mitunternehmerschaft</w:t>
      </w:r>
      <w:proofErr w:type="spellEnd"/>
      <w:r w:rsidRPr="00921771">
        <w:rPr>
          <w:rFonts w:ascii="Times New Roman" w:eastAsia="Times New Roman" w:hAnsi="Times New Roman" w:cs="Times New Roman"/>
          <w:sz w:val="24"/>
          <w:szCs w:val="24"/>
          <w:lang w:eastAsia="de-DE"/>
        </w:rPr>
        <w:t xml:space="preserve"> und umgekehrt sowie für die Überführung zwischen verschiedenen Sonderbetriebsvermögen desselben Steuerpflichtigen bei verschiedenen </w:t>
      </w:r>
      <w:proofErr w:type="spellStart"/>
      <w:r w:rsidRPr="00921771">
        <w:rPr>
          <w:rFonts w:ascii="Times New Roman" w:eastAsia="Times New Roman" w:hAnsi="Times New Roman" w:cs="Times New Roman"/>
          <w:sz w:val="24"/>
          <w:szCs w:val="24"/>
          <w:lang w:eastAsia="de-DE"/>
        </w:rPr>
        <w:t>Mitunternehmerschaften</w:t>
      </w:r>
      <w:proofErr w:type="spellEnd"/>
      <w:r w:rsidRPr="00921771">
        <w:rPr>
          <w:rFonts w:ascii="Times New Roman" w:eastAsia="Times New Roman" w:hAnsi="Times New Roman" w:cs="Times New Roman"/>
          <w:sz w:val="24"/>
          <w:szCs w:val="24"/>
          <w:lang w:eastAsia="de-DE"/>
        </w:rPr>
        <w:t xml:space="preserve">. </w:t>
      </w:r>
      <w:r w:rsidRPr="00921771">
        <w:rPr>
          <w:rFonts w:ascii="Times New Roman" w:eastAsia="Times New Roman" w:hAnsi="Times New Roman" w:cs="Times New Roman"/>
          <w:sz w:val="24"/>
          <w:szCs w:val="24"/>
          <w:vertAlign w:val="superscript"/>
          <w:lang w:eastAsia="de-DE"/>
        </w:rPr>
        <w:t>3</w:t>
      </w:r>
      <w:r w:rsidRPr="00921771">
        <w:rPr>
          <w:rFonts w:ascii="Times New Roman" w:eastAsia="Times New Roman" w:hAnsi="Times New Roman" w:cs="Times New Roman"/>
          <w:sz w:val="24"/>
          <w:szCs w:val="24"/>
          <w:lang w:eastAsia="de-DE"/>
        </w:rPr>
        <w:t xml:space="preserve">Satz 1 gilt entsprechend, soweit ein Wirtschaftsgut </w:t>
      </w:r>
    </w:p>
    <w:p w:rsidR="00921771" w:rsidRPr="00921771" w:rsidRDefault="00921771" w:rsidP="00921771">
      <w:pPr>
        <w:spacing w:after="0" w:line="240" w:lineRule="auto"/>
        <w:rPr>
          <w:rFonts w:ascii="Times New Roman" w:eastAsia="Times New Roman" w:hAnsi="Times New Roman" w:cs="Times New Roman"/>
          <w:sz w:val="24"/>
          <w:szCs w:val="24"/>
          <w:lang w:eastAsia="de-DE"/>
        </w:rPr>
      </w:pPr>
      <w:r w:rsidRPr="00921771">
        <w:rPr>
          <w:rFonts w:ascii="Times New Roman" w:eastAsia="Times New Roman" w:hAnsi="Times New Roman" w:cs="Times New Roman"/>
          <w:sz w:val="24"/>
          <w:szCs w:val="24"/>
          <w:lang w:eastAsia="de-DE"/>
        </w:rPr>
        <w:t>1.</w:t>
      </w:r>
    </w:p>
    <w:p w:rsidR="00921771" w:rsidRPr="00921771" w:rsidRDefault="00921771" w:rsidP="00921771">
      <w:pPr>
        <w:spacing w:after="0" w:line="240" w:lineRule="auto"/>
        <w:ind w:left="720"/>
        <w:rPr>
          <w:rFonts w:ascii="Times New Roman" w:eastAsia="Times New Roman" w:hAnsi="Times New Roman" w:cs="Times New Roman"/>
          <w:sz w:val="24"/>
          <w:szCs w:val="24"/>
          <w:lang w:eastAsia="de-DE"/>
        </w:rPr>
      </w:pPr>
      <w:r w:rsidRPr="00921771">
        <w:rPr>
          <w:rFonts w:ascii="Times New Roman" w:eastAsia="Times New Roman" w:hAnsi="Times New Roman" w:cs="Times New Roman"/>
          <w:sz w:val="24"/>
          <w:szCs w:val="24"/>
          <w:lang w:eastAsia="de-DE"/>
        </w:rPr>
        <w:t xml:space="preserve">unentgeltlich oder gegen Gewährung oder Minderung von Gesellschaftsrechten aus einem Betriebsvermögen des Mitunternehmers in das </w:t>
      </w:r>
      <w:proofErr w:type="spellStart"/>
      <w:r w:rsidRPr="00921771">
        <w:rPr>
          <w:rFonts w:ascii="Times New Roman" w:eastAsia="Times New Roman" w:hAnsi="Times New Roman" w:cs="Times New Roman"/>
          <w:sz w:val="24"/>
          <w:szCs w:val="24"/>
          <w:lang w:eastAsia="de-DE"/>
        </w:rPr>
        <w:t>Gesamthandsvermögen</w:t>
      </w:r>
      <w:proofErr w:type="spellEnd"/>
      <w:r w:rsidRPr="00921771">
        <w:rPr>
          <w:rFonts w:ascii="Times New Roman" w:eastAsia="Times New Roman" w:hAnsi="Times New Roman" w:cs="Times New Roman"/>
          <w:sz w:val="24"/>
          <w:szCs w:val="24"/>
          <w:lang w:eastAsia="de-DE"/>
        </w:rPr>
        <w:t xml:space="preserve"> einer </w:t>
      </w:r>
      <w:proofErr w:type="spellStart"/>
      <w:r w:rsidRPr="00921771">
        <w:rPr>
          <w:rFonts w:ascii="Times New Roman" w:eastAsia="Times New Roman" w:hAnsi="Times New Roman" w:cs="Times New Roman"/>
          <w:sz w:val="24"/>
          <w:szCs w:val="24"/>
          <w:lang w:eastAsia="de-DE"/>
        </w:rPr>
        <w:t>Mitunternehmerschaft</w:t>
      </w:r>
      <w:proofErr w:type="spellEnd"/>
      <w:r w:rsidRPr="00921771">
        <w:rPr>
          <w:rFonts w:ascii="Times New Roman" w:eastAsia="Times New Roman" w:hAnsi="Times New Roman" w:cs="Times New Roman"/>
          <w:sz w:val="24"/>
          <w:szCs w:val="24"/>
          <w:lang w:eastAsia="de-DE"/>
        </w:rPr>
        <w:t xml:space="preserve"> und umgekehrt,</w:t>
      </w:r>
    </w:p>
    <w:p w:rsidR="00921771" w:rsidRPr="00921771" w:rsidRDefault="00921771" w:rsidP="00921771">
      <w:pPr>
        <w:spacing w:after="0" w:line="240" w:lineRule="auto"/>
        <w:rPr>
          <w:rFonts w:ascii="Times New Roman" w:eastAsia="Times New Roman" w:hAnsi="Times New Roman" w:cs="Times New Roman"/>
          <w:sz w:val="24"/>
          <w:szCs w:val="24"/>
          <w:lang w:eastAsia="de-DE"/>
        </w:rPr>
      </w:pPr>
      <w:r w:rsidRPr="00921771">
        <w:rPr>
          <w:rFonts w:ascii="Times New Roman" w:eastAsia="Times New Roman" w:hAnsi="Times New Roman" w:cs="Times New Roman"/>
          <w:sz w:val="24"/>
          <w:szCs w:val="24"/>
          <w:lang w:eastAsia="de-DE"/>
        </w:rPr>
        <w:t>2.</w:t>
      </w:r>
    </w:p>
    <w:p w:rsidR="00921771" w:rsidRPr="00921771" w:rsidRDefault="00921771" w:rsidP="00921771">
      <w:pPr>
        <w:spacing w:after="0" w:line="240" w:lineRule="auto"/>
        <w:ind w:left="720"/>
        <w:rPr>
          <w:rFonts w:ascii="Times New Roman" w:eastAsia="Times New Roman" w:hAnsi="Times New Roman" w:cs="Times New Roman"/>
          <w:sz w:val="24"/>
          <w:szCs w:val="24"/>
          <w:lang w:eastAsia="de-DE"/>
        </w:rPr>
      </w:pPr>
      <w:r w:rsidRPr="00921771">
        <w:rPr>
          <w:rFonts w:ascii="Times New Roman" w:eastAsia="Times New Roman" w:hAnsi="Times New Roman" w:cs="Times New Roman"/>
          <w:sz w:val="24"/>
          <w:szCs w:val="24"/>
          <w:lang w:eastAsia="de-DE"/>
        </w:rPr>
        <w:t xml:space="preserve">unentgeltlich oder gegen Gewährung oder Minderung von Gesellschaftsrechten aus dem Sonderbetriebsvermögen eines Mitunternehmers in das </w:t>
      </w:r>
      <w:proofErr w:type="spellStart"/>
      <w:r w:rsidRPr="00921771">
        <w:rPr>
          <w:rFonts w:ascii="Times New Roman" w:eastAsia="Times New Roman" w:hAnsi="Times New Roman" w:cs="Times New Roman"/>
          <w:sz w:val="24"/>
          <w:szCs w:val="24"/>
          <w:lang w:eastAsia="de-DE"/>
        </w:rPr>
        <w:t>Gesamthandsvermögen</w:t>
      </w:r>
      <w:proofErr w:type="spellEnd"/>
      <w:r w:rsidRPr="00921771">
        <w:rPr>
          <w:rFonts w:ascii="Times New Roman" w:eastAsia="Times New Roman" w:hAnsi="Times New Roman" w:cs="Times New Roman"/>
          <w:sz w:val="24"/>
          <w:szCs w:val="24"/>
          <w:lang w:eastAsia="de-DE"/>
        </w:rPr>
        <w:t xml:space="preserve"> derselben </w:t>
      </w:r>
      <w:proofErr w:type="spellStart"/>
      <w:r w:rsidRPr="00921771">
        <w:rPr>
          <w:rFonts w:ascii="Times New Roman" w:eastAsia="Times New Roman" w:hAnsi="Times New Roman" w:cs="Times New Roman"/>
          <w:sz w:val="24"/>
          <w:szCs w:val="24"/>
          <w:lang w:eastAsia="de-DE"/>
        </w:rPr>
        <w:t>Mitunternehmerschaft</w:t>
      </w:r>
      <w:proofErr w:type="spellEnd"/>
      <w:r w:rsidRPr="00921771">
        <w:rPr>
          <w:rFonts w:ascii="Times New Roman" w:eastAsia="Times New Roman" w:hAnsi="Times New Roman" w:cs="Times New Roman"/>
          <w:sz w:val="24"/>
          <w:szCs w:val="24"/>
          <w:lang w:eastAsia="de-DE"/>
        </w:rPr>
        <w:t xml:space="preserve"> oder einer anderen </w:t>
      </w:r>
      <w:proofErr w:type="spellStart"/>
      <w:r w:rsidRPr="00921771">
        <w:rPr>
          <w:rFonts w:ascii="Times New Roman" w:eastAsia="Times New Roman" w:hAnsi="Times New Roman" w:cs="Times New Roman"/>
          <w:sz w:val="24"/>
          <w:szCs w:val="24"/>
          <w:lang w:eastAsia="de-DE"/>
        </w:rPr>
        <w:t>Mitunternehmerschaft</w:t>
      </w:r>
      <w:proofErr w:type="spellEnd"/>
      <w:r w:rsidRPr="00921771">
        <w:rPr>
          <w:rFonts w:ascii="Times New Roman" w:eastAsia="Times New Roman" w:hAnsi="Times New Roman" w:cs="Times New Roman"/>
          <w:sz w:val="24"/>
          <w:szCs w:val="24"/>
          <w:lang w:eastAsia="de-DE"/>
        </w:rPr>
        <w:t>, an der er beteiligt ist, und umgekehrt oder</w:t>
      </w:r>
    </w:p>
    <w:p w:rsidR="00921771" w:rsidRPr="00921771" w:rsidRDefault="00921771" w:rsidP="00921771">
      <w:pPr>
        <w:spacing w:after="0" w:line="240" w:lineRule="auto"/>
        <w:rPr>
          <w:rFonts w:ascii="Times New Roman" w:eastAsia="Times New Roman" w:hAnsi="Times New Roman" w:cs="Times New Roman"/>
          <w:sz w:val="24"/>
          <w:szCs w:val="24"/>
          <w:lang w:eastAsia="de-DE"/>
        </w:rPr>
      </w:pPr>
      <w:r w:rsidRPr="00921771">
        <w:rPr>
          <w:rFonts w:ascii="Times New Roman" w:eastAsia="Times New Roman" w:hAnsi="Times New Roman" w:cs="Times New Roman"/>
          <w:sz w:val="24"/>
          <w:szCs w:val="24"/>
          <w:lang w:eastAsia="de-DE"/>
        </w:rPr>
        <w:t>3.</w:t>
      </w:r>
    </w:p>
    <w:p w:rsidR="00921771" w:rsidRPr="00921771" w:rsidRDefault="00921771" w:rsidP="00921771">
      <w:pPr>
        <w:spacing w:after="0" w:line="240" w:lineRule="auto"/>
        <w:ind w:left="720"/>
        <w:rPr>
          <w:rFonts w:ascii="Times New Roman" w:eastAsia="Times New Roman" w:hAnsi="Times New Roman" w:cs="Times New Roman"/>
          <w:sz w:val="24"/>
          <w:szCs w:val="24"/>
          <w:lang w:eastAsia="de-DE"/>
        </w:rPr>
      </w:pPr>
      <w:r w:rsidRPr="00921771">
        <w:rPr>
          <w:rFonts w:ascii="Times New Roman" w:eastAsia="Times New Roman" w:hAnsi="Times New Roman" w:cs="Times New Roman"/>
          <w:sz w:val="24"/>
          <w:szCs w:val="24"/>
          <w:lang w:eastAsia="de-DE"/>
        </w:rPr>
        <w:t xml:space="preserve">unentgeltlich zwischen den jeweiligen Sonderbetriebsvermögen verschiedener Mitunternehmer derselben </w:t>
      </w:r>
      <w:proofErr w:type="spellStart"/>
      <w:r w:rsidRPr="00921771">
        <w:rPr>
          <w:rFonts w:ascii="Times New Roman" w:eastAsia="Times New Roman" w:hAnsi="Times New Roman" w:cs="Times New Roman"/>
          <w:sz w:val="24"/>
          <w:szCs w:val="24"/>
          <w:lang w:eastAsia="de-DE"/>
        </w:rPr>
        <w:t>Mitunternehmerschaft</w:t>
      </w:r>
      <w:proofErr w:type="spellEnd"/>
    </w:p>
    <w:p w:rsidR="00921771" w:rsidRPr="00921771" w:rsidRDefault="00921771" w:rsidP="00921771">
      <w:pPr>
        <w:spacing w:after="0" w:line="240" w:lineRule="auto"/>
        <w:rPr>
          <w:rFonts w:ascii="Times New Roman" w:eastAsia="Times New Roman" w:hAnsi="Times New Roman" w:cs="Times New Roman"/>
          <w:sz w:val="24"/>
          <w:szCs w:val="24"/>
          <w:lang w:eastAsia="de-DE"/>
        </w:rPr>
      </w:pPr>
      <w:r w:rsidRPr="00921771">
        <w:rPr>
          <w:rFonts w:ascii="Times New Roman" w:eastAsia="Times New Roman" w:hAnsi="Times New Roman" w:cs="Times New Roman"/>
          <w:sz w:val="24"/>
          <w:szCs w:val="24"/>
          <w:lang w:eastAsia="de-DE"/>
        </w:rPr>
        <w:t xml:space="preserve">übertragen wird. </w:t>
      </w:r>
      <w:r w:rsidRPr="00921771">
        <w:rPr>
          <w:rFonts w:ascii="Times New Roman" w:eastAsia="Times New Roman" w:hAnsi="Times New Roman" w:cs="Times New Roman"/>
          <w:sz w:val="24"/>
          <w:szCs w:val="24"/>
          <w:vertAlign w:val="superscript"/>
          <w:lang w:eastAsia="de-DE"/>
        </w:rPr>
        <w:t>4</w:t>
      </w:r>
      <w:r w:rsidRPr="00921771">
        <w:rPr>
          <w:rFonts w:ascii="Times New Roman" w:eastAsia="Times New Roman" w:hAnsi="Times New Roman" w:cs="Times New Roman"/>
          <w:sz w:val="24"/>
          <w:szCs w:val="24"/>
          <w:lang w:eastAsia="de-DE"/>
        </w:rPr>
        <w:t xml:space="preserve">Wird das nach Satz 3 übertragene Wirtschaftsgut innerhalb einer Sperrfrist veräußert oder entnommen, ist rückwirkend auf den Zeitpunkt der Übertragung der Teilwert anzusetzen, es sei denn, die bis zur Übertragung entstandenen stillen Reserven sind durch Erstellung einer Ergänzungsbilanz dem übertragenden Gesellschafter zugeordnet worden; diese Sperrfrist endet drei Jahre nach Abgabe der Steuererklärung des Übertragenden für den Veranlagungszeitraum, in dem die in Satz 3 bezeichnete Übertragung erfolgt ist. </w:t>
      </w:r>
      <w:r w:rsidRPr="00921771">
        <w:rPr>
          <w:rFonts w:ascii="Times New Roman" w:eastAsia="Times New Roman" w:hAnsi="Times New Roman" w:cs="Times New Roman"/>
          <w:sz w:val="24"/>
          <w:szCs w:val="24"/>
          <w:vertAlign w:val="superscript"/>
          <w:lang w:eastAsia="de-DE"/>
        </w:rPr>
        <w:t>5</w:t>
      </w:r>
      <w:r w:rsidRPr="00921771">
        <w:rPr>
          <w:rFonts w:ascii="Times New Roman" w:eastAsia="Times New Roman" w:hAnsi="Times New Roman" w:cs="Times New Roman"/>
          <w:sz w:val="24"/>
          <w:szCs w:val="24"/>
          <w:lang w:eastAsia="de-DE"/>
        </w:rPr>
        <w:t xml:space="preserve">Der Teilwert ist auch anzusetzen, soweit in den Fällen des Satzes 3 der Anteil einer Körperschaft, Personenvereinigung oder Vermögensmasse an dem Wirtschaftsgut unmittelbar oder mittelbar begründet wird oder dieser sich erhöht. </w:t>
      </w:r>
      <w:r w:rsidRPr="00921771">
        <w:rPr>
          <w:rFonts w:ascii="Times New Roman" w:eastAsia="Times New Roman" w:hAnsi="Times New Roman" w:cs="Times New Roman"/>
          <w:sz w:val="24"/>
          <w:szCs w:val="24"/>
          <w:vertAlign w:val="superscript"/>
          <w:lang w:eastAsia="de-DE"/>
        </w:rPr>
        <w:t>6</w:t>
      </w:r>
      <w:r w:rsidRPr="00921771">
        <w:rPr>
          <w:rFonts w:ascii="Times New Roman" w:eastAsia="Times New Roman" w:hAnsi="Times New Roman" w:cs="Times New Roman"/>
          <w:sz w:val="24"/>
          <w:szCs w:val="24"/>
          <w:lang w:eastAsia="de-DE"/>
        </w:rPr>
        <w:t>Soweit innerhalb von sieben Jahren nach der Übertragung des Wirtschaftsguts nach Satz 3 der Anteil einer Körperschaft, Personenvereinigung oder Vermögensmasse an dem übertragenen Wirtschaftsgut aus einem anderen Grund unmittelbar oder mittelbar begründet wird oder dieser sich erhöht, ist rückwirkend auf den Zeitpunkt der Übertragung ebenfalls der Teilwert anzusetzen.</w:t>
      </w:r>
    </w:p>
    <w:p w:rsidR="00921771" w:rsidRPr="00921771" w:rsidRDefault="00921771" w:rsidP="00921771">
      <w:pPr>
        <w:spacing w:after="0" w:line="240" w:lineRule="auto"/>
        <w:rPr>
          <w:rFonts w:ascii="Times New Roman" w:eastAsia="Times New Roman" w:hAnsi="Times New Roman" w:cs="Times New Roman"/>
          <w:sz w:val="24"/>
          <w:szCs w:val="24"/>
          <w:lang w:eastAsia="de-DE"/>
        </w:rPr>
      </w:pPr>
      <w:r w:rsidRPr="00921771">
        <w:rPr>
          <w:rFonts w:ascii="Times New Roman" w:eastAsia="Times New Roman" w:hAnsi="Times New Roman" w:cs="Times New Roman"/>
          <w:sz w:val="24"/>
          <w:szCs w:val="24"/>
          <w:lang w:eastAsia="de-DE"/>
        </w:rPr>
        <w:t xml:space="preserve">(6) </w:t>
      </w:r>
      <w:r w:rsidRPr="00921771">
        <w:rPr>
          <w:rFonts w:ascii="Times New Roman" w:eastAsia="Times New Roman" w:hAnsi="Times New Roman" w:cs="Times New Roman"/>
          <w:sz w:val="24"/>
          <w:szCs w:val="24"/>
          <w:vertAlign w:val="superscript"/>
          <w:lang w:eastAsia="de-DE"/>
        </w:rPr>
        <w:t>1</w:t>
      </w:r>
      <w:r w:rsidRPr="00921771">
        <w:rPr>
          <w:rFonts w:ascii="Times New Roman" w:eastAsia="Times New Roman" w:hAnsi="Times New Roman" w:cs="Times New Roman"/>
          <w:sz w:val="24"/>
          <w:szCs w:val="24"/>
          <w:lang w:eastAsia="de-DE"/>
        </w:rPr>
        <w:t xml:space="preserve">Wird ein einzelnes Wirtschaftsgut im Wege des Tausches übertragen, bemessen sich die Anschaffungskosten nach dem gemeinen Wert des hingegebenen Wirtschaftsguts. </w:t>
      </w:r>
      <w:r w:rsidRPr="00921771">
        <w:rPr>
          <w:rFonts w:ascii="Times New Roman" w:eastAsia="Times New Roman" w:hAnsi="Times New Roman" w:cs="Times New Roman"/>
          <w:sz w:val="24"/>
          <w:szCs w:val="24"/>
          <w:vertAlign w:val="superscript"/>
          <w:lang w:eastAsia="de-DE"/>
        </w:rPr>
        <w:t>2</w:t>
      </w:r>
      <w:r w:rsidRPr="00921771">
        <w:rPr>
          <w:rFonts w:ascii="Times New Roman" w:eastAsia="Times New Roman" w:hAnsi="Times New Roman" w:cs="Times New Roman"/>
          <w:sz w:val="24"/>
          <w:szCs w:val="24"/>
          <w:lang w:eastAsia="de-DE"/>
        </w:rPr>
        <w:t xml:space="preserve">Erfolgt die Übertragung im Wege der verdeckten Einlage, erhöhen sich die Anschaffungskosten der </w:t>
      </w:r>
      <w:r w:rsidRPr="00921771">
        <w:rPr>
          <w:rFonts w:ascii="Times New Roman" w:eastAsia="Times New Roman" w:hAnsi="Times New Roman" w:cs="Times New Roman"/>
          <w:sz w:val="24"/>
          <w:szCs w:val="24"/>
          <w:lang w:eastAsia="de-DE"/>
        </w:rPr>
        <w:lastRenderedPageBreak/>
        <w:t xml:space="preserve">Beteiligung an der Kapitalgesellschaft um den Teilwert des eingelegten Wirtschaftsguts. </w:t>
      </w:r>
      <w:r w:rsidRPr="00921771">
        <w:rPr>
          <w:rFonts w:ascii="Times New Roman" w:eastAsia="Times New Roman" w:hAnsi="Times New Roman" w:cs="Times New Roman"/>
          <w:sz w:val="24"/>
          <w:szCs w:val="24"/>
          <w:vertAlign w:val="superscript"/>
          <w:lang w:eastAsia="de-DE"/>
        </w:rPr>
        <w:t>3</w:t>
      </w:r>
      <w:r w:rsidRPr="00921771">
        <w:rPr>
          <w:rFonts w:ascii="Times New Roman" w:eastAsia="Times New Roman" w:hAnsi="Times New Roman" w:cs="Times New Roman"/>
          <w:sz w:val="24"/>
          <w:szCs w:val="24"/>
          <w:lang w:eastAsia="de-DE"/>
        </w:rPr>
        <w:t xml:space="preserve">In den Fällen des Absatzes 1 Nummer 5 Satz 1 Buchstabe a erhöhen sich die Anschaffungskosten im Sinne des Satzes 2 um den </w:t>
      </w:r>
      <w:proofErr w:type="spellStart"/>
      <w:r w:rsidRPr="00921771">
        <w:rPr>
          <w:rFonts w:ascii="Times New Roman" w:eastAsia="Times New Roman" w:hAnsi="Times New Roman" w:cs="Times New Roman"/>
          <w:sz w:val="24"/>
          <w:szCs w:val="24"/>
          <w:lang w:eastAsia="de-DE"/>
        </w:rPr>
        <w:t>Einlagewert</w:t>
      </w:r>
      <w:proofErr w:type="spellEnd"/>
      <w:r w:rsidRPr="00921771">
        <w:rPr>
          <w:rFonts w:ascii="Times New Roman" w:eastAsia="Times New Roman" w:hAnsi="Times New Roman" w:cs="Times New Roman"/>
          <w:sz w:val="24"/>
          <w:szCs w:val="24"/>
          <w:lang w:eastAsia="de-DE"/>
        </w:rPr>
        <w:t xml:space="preserve"> des Wirtschaftsguts. </w:t>
      </w:r>
      <w:r w:rsidRPr="00921771">
        <w:rPr>
          <w:rFonts w:ascii="Times New Roman" w:eastAsia="Times New Roman" w:hAnsi="Times New Roman" w:cs="Times New Roman"/>
          <w:sz w:val="24"/>
          <w:szCs w:val="24"/>
          <w:vertAlign w:val="superscript"/>
          <w:lang w:eastAsia="de-DE"/>
        </w:rPr>
        <w:t>4</w:t>
      </w:r>
      <w:r w:rsidRPr="00921771">
        <w:rPr>
          <w:rFonts w:ascii="Times New Roman" w:eastAsia="Times New Roman" w:hAnsi="Times New Roman" w:cs="Times New Roman"/>
          <w:sz w:val="24"/>
          <w:szCs w:val="24"/>
          <w:lang w:eastAsia="de-DE"/>
        </w:rPr>
        <w:t>Absatz 5 bleibt unberührt.</w:t>
      </w:r>
    </w:p>
    <w:p w:rsidR="00921771" w:rsidRPr="00921771" w:rsidRDefault="00921771" w:rsidP="00921771">
      <w:pPr>
        <w:spacing w:after="0" w:line="240" w:lineRule="auto"/>
        <w:rPr>
          <w:rFonts w:ascii="Times New Roman" w:eastAsia="Times New Roman" w:hAnsi="Times New Roman" w:cs="Times New Roman"/>
          <w:sz w:val="24"/>
          <w:szCs w:val="24"/>
          <w:lang w:eastAsia="de-DE"/>
        </w:rPr>
      </w:pPr>
      <w:r w:rsidRPr="00921771">
        <w:rPr>
          <w:rFonts w:ascii="Times New Roman" w:eastAsia="Times New Roman" w:hAnsi="Times New Roman" w:cs="Times New Roman"/>
          <w:sz w:val="24"/>
          <w:szCs w:val="24"/>
          <w:lang w:eastAsia="de-DE"/>
        </w:rPr>
        <w:t xml:space="preserve">(7) Im Fall des § 4 Absatz 3 sind </w:t>
      </w:r>
    </w:p>
    <w:p w:rsidR="00921771" w:rsidRPr="00921771" w:rsidRDefault="00921771" w:rsidP="00921771">
      <w:pPr>
        <w:spacing w:after="0" w:line="240" w:lineRule="auto"/>
        <w:rPr>
          <w:rFonts w:ascii="Times New Roman" w:eastAsia="Times New Roman" w:hAnsi="Times New Roman" w:cs="Times New Roman"/>
          <w:sz w:val="24"/>
          <w:szCs w:val="24"/>
          <w:lang w:eastAsia="de-DE"/>
        </w:rPr>
      </w:pPr>
      <w:r w:rsidRPr="00921771">
        <w:rPr>
          <w:rFonts w:ascii="Times New Roman" w:eastAsia="Times New Roman" w:hAnsi="Times New Roman" w:cs="Times New Roman"/>
          <w:sz w:val="24"/>
          <w:szCs w:val="24"/>
          <w:lang w:eastAsia="de-DE"/>
        </w:rPr>
        <w:t>1.</w:t>
      </w:r>
    </w:p>
    <w:p w:rsidR="00921771" w:rsidRPr="00921771" w:rsidRDefault="00921771" w:rsidP="00921771">
      <w:pPr>
        <w:spacing w:after="0" w:line="240" w:lineRule="auto"/>
        <w:ind w:left="720"/>
        <w:rPr>
          <w:rFonts w:ascii="Times New Roman" w:eastAsia="Times New Roman" w:hAnsi="Times New Roman" w:cs="Times New Roman"/>
          <w:sz w:val="24"/>
          <w:szCs w:val="24"/>
          <w:lang w:eastAsia="de-DE"/>
        </w:rPr>
      </w:pPr>
      <w:r w:rsidRPr="00921771">
        <w:rPr>
          <w:rFonts w:ascii="Times New Roman" w:eastAsia="Times New Roman" w:hAnsi="Times New Roman" w:cs="Times New Roman"/>
          <w:sz w:val="24"/>
          <w:szCs w:val="24"/>
          <w:lang w:eastAsia="de-DE"/>
        </w:rPr>
        <w:t>bei der Bemessung der Absetzungen für Abnutzung oder Substanzverringerung die sich bei der Anwendung der Absätze 3 bis 6 ergebenden Werte als Anschaffungskosten zugrunde zu legen und</w:t>
      </w:r>
    </w:p>
    <w:p w:rsidR="00921771" w:rsidRPr="00921771" w:rsidRDefault="00921771" w:rsidP="00921771">
      <w:pPr>
        <w:spacing w:after="0" w:line="240" w:lineRule="auto"/>
        <w:rPr>
          <w:rFonts w:ascii="Times New Roman" w:eastAsia="Times New Roman" w:hAnsi="Times New Roman" w:cs="Times New Roman"/>
          <w:sz w:val="24"/>
          <w:szCs w:val="24"/>
          <w:lang w:eastAsia="de-DE"/>
        </w:rPr>
      </w:pPr>
      <w:r w:rsidRPr="00921771">
        <w:rPr>
          <w:rFonts w:ascii="Times New Roman" w:eastAsia="Times New Roman" w:hAnsi="Times New Roman" w:cs="Times New Roman"/>
          <w:sz w:val="24"/>
          <w:szCs w:val="24"/>
          <w:lang w:eastAsia="de-DE"/>
        </w:rPr>
        <w:t>2.</w:t>
      </w:r>
    </w:p>
    <w:p w:rsidR="00921771" w:rsidRPr="00921771" w:rsidRDefault="00921771" w:rsidP="00921771">
      <w:pPr>
        <w:spacing w:after="0" w:line="240" w:lineRule="auto"/>
        <w:ind w:left="720"/>
        <w:rPr>
          <w:rFonts w:ascii="Times New Roman" w:eastAsia="Times New Roman" w:hAnsi="Times New Roman" w:cs="Times New Roman"/>
          <w:sz w:val="24"/>
          <w:szCs w:val="24"/>
          <w:lang w:eastAsia="de-DE"/>
        </w:rPr>
      </w:pPr>
      <w:r w:rsidRPr="00921771">
        <w:rPr>
          <w:rFonts w:ascii="Times New Roman" w:eastAsia="Times New Roman" w:hAnsi="Times New Roman" w:cs="Times New Roman"/>
          <w:sz w:val="24"/>
          <w:szCs w:val="24"/>
          <w:lang w:eastAsia="de-DE"/>
        </w:rPr>
        <w:t>die Bewertungsvorschriften des Absatzes 1 Nummer 1a und der Nummern 4 bis 7 entsprechend anzuwenden.</w:t>
      </w:r>
    </w:p>
    <w:p w:rsidR="00921771" w:rsidRPr="00921771" w:rsidRDefault="00921771" w:rsidP="00921771">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921771">
        <w:rPr>
          <w:rFonts w:ascii="Times New Roman" w:eastAsia="Times New Roman" w:hAnsi="Times New Roman" w:cs="Times New Roman"/>
          <w:b/>
          <w:bCs/>
          <w:sz w:val="24"/>
          <w:szCs w:val="24"/>
          <w:lang w:eastAsia="de-DE"/>
        </w:rPr>
        <w:t>Fußnote</w:t>
      </w:r>
    </w:p>
    <w:p w:rsidR="00921771" w:rsidRPr="00921771" w:rsidRDefault="00921771" w:rsidP="00921771">
      <w:pPr>
        <w:spacing w:after="0" w:line="240" w:lineRule="auto"/>
        <w:rPr>
          <w:rFonts w:ascii="Times New Roman" w:eastAsia="Times New Roman" w:hAnsi="Times New Roman" w:cs="Times New Roman"/>
          <w:sz w:val="24"/>
          <w:szCs w:val="24"/>
          <w:lang w:eastAsia="de-DE"/>
        </w:rPr>
      </w:pPr>
      <w:r w:rsidRPr="00921771">
        <w:rPr>
          <w:rFonts w:ascii="Times New Roman" w:eastAsia="Times New Roman" w:hAnsi="Times New Roman" w:cs="Times New Roman"/>
          <w:sz w:val="24"/>
          <w:szCs w:val="24"/>
          <w:lang w:eastAsia="de-DE"/>
        </w:rPr>
        <w:t xml:space="preserve">(+++ § 6: Zur Anwendung vgl. § 52, § 52a Abs. 5 +++) </w:t>
      </w:r>
      <w:r w:rsidRPr="00921771">
        <w:rPr>
          <w:rFonts w:ascii="Times New Roman" w:eastAsia="Times New Roman" w:hAnsi="Times New Roman" w:cs="Times New Roman"/>
          <w:sz w:val="24"/>
          <w:szCs w:val="24"/>
          <w:lang w:eastAsia="de-DE"/>
        </w:rPr>
        <w:br/>
        <w:t xml:space="preserve">(+++ § 6: Zur Anwendung vgl. § 13a Abs. 3 (F 2014-12-22) +++) </w:t>
      </w:r>
      <w:r w:rsidRPr="00921771">
        <w:rPr>
          <w:rFonts w:ascii="Times New Roman" w:eastAsia="Times New Roman" w:hAnsi="Times New Roman" w:cs="Times New Roman"/>
          <w:sz w:val="24"/>
          <w:szCs w:val="24"/>
          <w:lang w:eastAsia="de-DE"/>
        </w:rPr>
        <w:br/>
        <w:t>(+++ § 6 Abs. 1 Nr. 4 Satz 2 u. 3: Zur Anwendung vgl. § 52 Abs. 12 +++)</w:t>
      </w:r>
    </w:p>
    <w:p w:rsidR="00921771" w:rsidRDefault="00921771"/>
    <w:p w:rsidR="00921771" w:rsidRDefault="00921771"/>
    <w:sectPr w:rsidR="00921771" w:rsidSect="004D59D2">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921771"/>
    <w:rsid w:val="0012634A"/>
    <w:rsid w:val="00196583"/>
    <w:rsid w:val="001D20B3"/>
    <w:rsid w:val="0028468F"/>
    <w:rsid w:val="004D59D2"/>
    <w:rsid w:val="005E2517"/>
    <w:rsid w:val="008E1953"/>
    <w:rsid w:val="00921771"/>
    <w:rsid w:val="00966ACF"/>
    <w:rsid w:val="00A20FB9"/>
    <w:rsid w:val="00ED3A27"/>
    <w:rsid w:val="00ED79AD"/>
    <w:rsid w:val="00F83A7E"/>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D59D2"/>
  </w:style>
  <w:style w:type="paragraph" w:styleId="berschrift1">
    <w:name w:val="heading 1"/>
    <w:basedOn w:val="Standard"/>
    <w:link w:val="berschrift1Zchn"/>
    <w:uiPriority w:val="9"/>
    <w:qFormat/>
    <w:rsid w:val="0092177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4">
    <w:name w:val="heading 4"/>
    <w:basedOn w:val="Standard"/>
    <w:link w:val="berschrift4Zchn"/>
    <w:uiPriority w:val="9"/>
    <w:qFormat/>
    <w:rsid w:val="00921771"/>
    <w:pPr>
      <w:spacing w:before="100" w:beforeAutospacing="1" w:after="100" w:afterAutospacing="1" w:line="240" w:lineRule="auto"/>
      <w:outlineLvl w:val="3"/>
    </w:pPr>
    <w:rPr>
      <w:rFonts w:ascii="Times New Roman" w:eastAsia="Times New Roman" w:hAnsi="Times New Roman" w:cs="Times New Roman"/>
      <w:b/>
      <w:bCs/>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21771"/>
    <w:rPr>
      <w:color w:val="0000FF" w:themeColor="hyperlink"/>
      <w:u w:val="single"/>
    </w:rPr>
  </w:style>
  <w:style w:type="character" w:customStyle="1" w:styleId="berschrift1Zchn">
    <w:name w:val="Überschrift 1 Zchn"/>
    <w:basedOn w:val="Absatz-Standardschriftart"/>
    <w:link w:val="berschrift1"/>
    <w:uiPriority w:val="9"/>
    <w:rsid w:val="00921771"/>
    <w:rPr>
      <w:rFonts w:ascii="Times New Roman" w:eastAsia="Times New Roman" w:hAnsi="Times New Roman" w:cs="Times New Roman"/>
      <w:b/>
      <w:bCs/>
      <w:kern w:val="36"/>
      <w:sz w:val="48"/>
      <w:szCs w:val="48"/>
      <w:lang w:eastAsia="de-DE"/>
    </w:rPr>
  </w:style>
  <w:style w:type="character" w:customStyle="1" w:styleId="berschrift4Zchn">
    <w:name w:val="Überschrift 4 Zchn"/>
    <w:basedOn w:val="Absatz-Standardschriftart"/>
    <w:link w:val="berschrift4"/>
    <w:uiPriority w:val="9"/>
    <w:rsid w:val="00921771"/>
    <w:rPr>
      <w:rFonts w:ascii="Times New Roman" w:eastAsia="Times New Roman" w:hAnsi="Times New Roman" w:cs="Times New Roman"/>
      <w:b/>
      <w:bCs/>
      <w:sz w:val="24"/>
      <w:szCs w:val="24"/>
      <w:lang w:eastAsia="de-DE"/>
    </w:rPr>
  </w:style>
  <w:style w:type="character" w:customStyle="1" w:styleId="jnenbez">
    <w:name w:val="jnenbez"/>
    <w:basedOn w:val="Absatz-Standardschriftart"/>
    <w:rsid w:val="00921771"/>
  </w:style>
  <w:style w:type="character" w:customStyle="1" w:styleId="jnentitel">
    <w:name w:val="jnentitel"/>
    <w:basedOn w:val="Absatz-Standardschriftart"/>
    <w:rsid w:val="00921771"/>
  </w:style>
</w:styles>
</file>

<file path=word/webSettings.xml><?xml version="1.0" encoding="utf-8"?>
<w:webSettings xmlns:r="http://schemas.openxmlformats.org/officeDocument/2006/relationships" xmlns:w="http://schemas.openxmlformats.org/wordprocessingml/2006/main">
  <w:divs>
    <w:div w:id="588926801">
      <w:bodyDiv w:val="1"/>
      <w:marLeft w:val="0"/>
      <w:marRight w:val="0"/>
      <w:marTop w:val="0"/>
      <w:marBottom w:val="0"/>
      <w:divBdr>
        <w:top w:val="none" w:sz="0" w:space="0" w:color="auto"/>
        <w:left w:val="none" w:sz="0" w:space="0" w:color="auto"/>
        <w:bottom w:val="none" w:sz="0" w:space="0" w:color="auto"/>
        <w:right w:val="none" w:sz="0" w:space="0" w:color="auto"/>
      </w:divBdr>
      <w:divsChild>
        <w:div w:id="1443844515">
          <w:marLeft w:val="0"/>
          <w:marRight w:val="0"/>
          <w:marTop w:val="0"/>
          <w:marBottom w:val="0"/>
          <w:divBdr>
            <w:top w:val="none" w:sz="0" w:space="0" w:color="auto"/>
            <w:left w:val="none" w:sz="0" w:space="0" w:color="auto"/>
            <w:bottom w:val="none" w:sz="0" w:space="0" w:color="auto"/>
            <w:right w:val="none" w:sz="0" w:space="0" w:color="auto"/>
          </w:divBdr>
        </w:div>
        <w:div w:id="1101877524">
          <w:marLeft w:val="0"/>
          <w:marRight w:val="0"/>
          <w:marTop w:val="0"/>
          <w:marBottom w:val="0"/>
          <w:divBdr>
            <w:top w:val="none" w:sz="0" w:space="0" w:color="auto"/>
            <w:left w:val="none" w:sz="0" w:space="0" w:color="auto"/>
            <w:bottom w:val="none" w:sz="0" w:space="0" w:color="auto"/>
            <w:right w:val="none" w:sz="0" w:space="0" w:color="auto"/>
          </w:divBdr>
          <w:divsChild>
            <w:div w:id="1904177538">
              <w:marLeft w:val="0"/>
              <w:marRight w:val="0"/>
              <w:marTop w:val="0"/>
              <w:marBottom w:val="0"/>
              <w:divBdr>
                <w:top w:val="none" w:sz="0" w:space="0" w:color="auto"/>
                <w:left w:val="none" w:sz="0" w:space="0" w:color="auto"/>
                <w:bottom w:val="none" w:sz="0" w:space="0" w:color="auto"/>
                <w:right w:val="none" w:sz="0" w:space="0" w:color="auto"/>
              </w:divBdr>
              <w:divsChild>
                <w:div w:id="655064149">
                  <w:marLeft w:val="0"/>
                  <w:marRight w:val="0"/>
                  <w:marTop w:val="0"/>
                  <w:marBottom w:val="0"/>
                  <w:divBdr>
                    <w:top w:val="none" w:sz="0" w:space="0" w:color="auto"/>
                    <w:left w:val="none" w:sz="0" w:space="0" w:color="auto"/>
                    <w:bottom w:val="none" w:sz="0" w:space="0" w:color="auto"/>
                    <w:right w:val="none" w:sz="0" w:space="0" w:color="auto"/>
                  </w:divBdr>
                  <w:divsChild>
                    <w:div w:id="649165911">
                      <w:marLeft w:val="0"/>
                      <w:marRight w:val="0"/>
                      <w:marTop w:val="0"/>
                      <w:marBottom w:val="0"/>
                      <w:divBdr>
                        <w:top w:val="none" w:sz="0" w:space="0" w:color="auto"/>
                        <w:left w:val="none" w:sz="0" w:space="0" w:color="auto"/>
                        <w:bottom w:val="none" w:sz="0" w:space="0" w:color="auto"/>
                        <w:right w:val="none" w:sz="0" w:space="0" w:color="auto"/>
                      </w:divBdr>
                      <w:divsChild>
                        <w:div w:id="1847014747">
                          <w:marLeft w:val="0"/>
                          <w:marRight w:val="0"/>
                          <w:marTop w:val="0"/>
                          <w:marBottom w:val="0"/>
                          <w:divBdr>
                            <w:top w:val="none" w:sz="0" w:space="0" w:color="auto"/>
                            <w:left w:val="none" w:sz="0" w:space="0" w:color="auto"/>
                            <w:bottom w:val="none" w:sz="0" w:space="0" w:color="auto"/>
                            <w:right w:val="none" w:sz="0" w:space="0" w:color="auto"/>
                          </w:divBdr>
                        </w:div>
                        <w:div w:id="77750756">
                          <w:marLeft w:val="0"/>
                          <w:marRight w:val="0"/>
                          <w:marTop w:val="0"/>
                          <w:marBottom w:val="0"/>
                          <w:divBdr>
                            <w:top w:val="none" w:sz="0" w:space="0" w:color="auto"/>
                            <w:left w:val="none" w:sz="0" w:space="0" w:color="auto"/>
                            <w:bottom w:val="none" w:sz="0" w:space="0" w:color="auto"/>
                            <w:right w:val="none" w:sz="0" w:space="0" w:color="auto"/>
                          </w:divBdr>
                        </w:div>
                        <w:div w:id="219558212">
                          <w:marLeft w:val="0"/>
                          <w:marRight w:val="0"/>
                          <w:marTop w:val="0"/>
                          <w:marBottom w:val="0"/>
                          <w:divBdr>
                            <w:top w:val="none" w:sz="0" w:space="0" w:color="auto"/>
                            <w:left w:val="none" w:sz="0" w:space="0" w:color="auto"/>
                            <w:bottom w:val="none" w:sz="0" w:space="0" w:color="auto"/>
                            <w:right w:val="none" w:sz="0" w:space="0" w:color="auto"/>
                          </w:divBdr>
                        </w:div>
                        <w:div w:id="616185841">
                          <w:marLeft w:val="0"/>
                          <w:marRight w:val="0"/>
                          <w:marTop w:val="0"/>
                          <w:marBottom w:val="0"/>
                          <w:divBdr>
                            <w:top w:val="none" w:sz="0" w:space="0" w:color="auto"/>
                            <w:left w:val="none" w:sz="0" w:space="0" w:color="auto"/>
                            <w:bottom w:val="none" w:sz="0" w:space="0" w:color="auto"/>
                            <w:right w:val="none" w:sz="0" w:space="0" w:color="auto"/>
                          </w:divBdr>
                        </w:div>
                        <w:div w:id="764351091">
                          <w:marLeft w:val="0"/>
                          <w:marRight w:val="0"/>
                          <w:marTop w:val="0"/>
                          <w:marBottom w:val="0"/>
                          <w:divBdr>
                            <w:top w:val="none" w:sz="0" w:space="0" w:color="auto"/>
                            <w:left w:val="none" w:sz="0" w:space="0" w:color="auto"/>
                            <w:bottom w:val="none" w:sz="0" w:space="0" w:color="auto"/>
                            <w:right w:val="none" w:sz="0" w:space="0" w:color="auto"/>
                          </w:divBdr>
                        </w:div>
                        <w:div w:id="1645432243">
                          <w:marLeft w:val="0"/>
                          <w:marRight w:val="0"/>
                          <w:marTop w:val="0"/>
                          <w:marBottom w:val="0"/>
                          <w:divBdr>
                            <w:top w:val="none" w:sz="0" w:space="0" w:color="auto"/>
                            <w:left w:val="none" w:sz="0" w:space="0" w:color="auto"/>
                            <w:bottom w:val="none" w:sz="0" w:space="0" w:color="auto"/>
                            <w:right w:val="none" w:sz="0" w:space="0" w:color="auto"/>
                          </w:divBdr>
                        </w:div>
                        <w:div w:id="1370839224">
                          <w:marLeft w:val="0"/>
                          <w:marRight w:val="0"/>
                          <w:marTop w:val="0"/>
                          <w:marBottom w:val="0"/>
                          <w:divBdr>
                            <w:top w:val="none" w:sz="0" w:space="0" w:color="auto"/>
                            <w:left w:val="none" w:sz="0" w:space="0" w:color="auto"/>
                            <w:bottom w:val="none" w:sz="0" w:space="0" w:color="auto"/>
                            <w:right w:val="none" w:sz="0" w:space="0" w:color="auto"/>
                          </w:divBdr>
                          <w:divsChild>
                            <w:div w:id="1666475887">
                              <w:marLeft w:val="0"/>
                              <w:marRight w:val="0"/>
                              <w:marTop w:val="0"/>
                              <w:marBottom w:val="0"/>
                              <w:divBdr>
                                <w:top w:val="none" w:sz="0" w:space="0" w:color="auto"/>
                                <w:left w:val="none" w:sz="0" w:space="0" w:color="auto"/>
                                <w:bottom w:val="none" w:sz="0" w:space="0" w:color="auto"/>
                                <w:right w:val="none" w:sz="0" w:space="0" w:color="auto"/>
                              </w:divBdr>
                            </w:div>
                            <w:div w:id="831724485">
                              <w:marLeft w:val="0"/>
                              <w:marRight w:val="0"/>
                              <w:marTop w:val="0"/>
                              <w:marBottom w:val="0"/>
                              <w:divBdr>
                                <w:top w:val="none" w:sz="0" w:space="0" w:color="auto"/>
                                <w:left w:val="none" w:sz="0" w:space="0" w:color="auto"/>
                                <w:bottom w:val="none" w:sz="0" w:space="0" w:color="auto"/>
                                <w:right w:val="none" w:sz="0" w:space="0" w:color="auto"/>
                              </w:divBdr>
                            </w:div>
                            <w:div w:id="1969125302">
                              <w:marLeft w:val="0"/>
                              <w:marRight w:val="0"/>
                              <w:marTop w:val="0"/>
                              <w:marBottom w:val="0"/>
                              <w:divBdr>
                                <w:top w:val="none" w:sz="0" w:space="0" w:color="auto"/>
                                <w:left w:val="none" w:sz="0" w:space="0" w:color="auto"/>
                                <w:bottom w:val="none" w:sz="0" w:space="0" w:color="auto"/>
                                <w:right w:val="none" w:sz="0" w:space="0" w:color="auto"/>
                              </w:divBdr>
                            </w:div>
                            <w:div w:id="1000500516">
                              <w:marLeft w:val="0"/>
                              <w:marRight w:val="0"/>
                              <w:marTop w:val="0"/>
                              <w:marBottom w:val="0"/>
                              <w:divBdr>
                                <w:top w:val="none" w:sz="0" w:space="0" w:color="auto"/>
                                <w:left w:val="none" w:sz="0" w:space="0" w:color="auto"/>
                                <w:bottom w:val="none" w:sz="0" w:space="0" w:color="auto"/>
                                <w:right w:val="none" w:sz="0" w:space="0" w:color="auto"/>
                              </w:divBdr>
                            </w:div>
                            <w:div w:id="389691768">
                              <w:marLeft w:val="0"/>
                              <w:marRight w:val="0"/>
                              <w:marTop w:val="0"/>
                              <w:marBottom w:val="0"/>
                              <w:divBdr>
                                <w:top w:val="none" w:sz="0" w:space="0" w:color="auto"/>
                                <w:left w:val="none" w:sz="0" w:space="0" w:color="auto"/>
                                <w:bottom w:val="none" w:sz="0" w:space="0" w:color="auto"/>
                                <w:right w:val="none" w:sz="0" w:space="0" w:color="auto"/>
                              </w:divBdr>
                            </w:div>
                            <w:div w:id="1251504325">
                              <w:marLeft w:val="0"/>
                              <w:marRight w:val="0"/>
                              <w:marTop w:val="0"/>
                              <w:marBottom w:val="0"/>
                              <w:divBdr>
                                <w:top w:val="none" w:sz="0" w:space="0" w:color="auto"/>
                                <w:left w:val="none" w:sz="0" w:space="0" w:color="auto"/>
                                <w:bottom w:val="none" w:sz="0" w:space="0" w:color="auto"/>
                                <w:right w:val="none" w:sz="0" w:space="0" w:color="auto"/>
                              </w:divBdr>
                            </w:div>
                          </w:divsChild>
                        </w:div>
                        <w:div w:id="464860728">
                          <w:marLeft w:val="0"/>
                          <w:marRight w:val="0"/>
                          <w:marTop w:val="0"/>
                          <w:marBottom w:val="0"/>
                          <w:divBdr>
                            <w:top w:val="none" w:sz="0" w:space="0" w:color="auto"/>
                            <w:left w:val="none" w:sz="0" w:space="0" w:color="auto"/>
                            <w:bottom w:val="none" w:sz="0" w:space="0" w:color="auto"/>
                            <w:right w:val="none" w:sz="0" w:space="0" w:color="auto"/>
                          </w:divBdr>
                        </w:div>
                        <w:div w:id="250309879">
                          <w:marLeft w:val="0"/>
                          <w:marRight w:val="0"/>
                          <w:marTop w:val="0"/>
                          <w:marBottom w:val="0"/>
                          <w:divBdr>
                            <w:top w:val="none" w:sz="0" w:space="0" w:color="auto"/>
                            <w:left w:val="none" w:sz="0" w:space="0" w:color="auto"/>
                            <w:bottom w:val="none" w:sz="0" w:space="0" w:color="auto"/>
                            <w:right w:val="none" w:sz="0" w:space="0" w:color="auto"/>
                          </w:divBdr>
                          <w:divsChild>
                            <w:div w:id="258562690">
                              <w:marLeft w:val="0"/>
                              <w:marRight w:val="0"/>
                              <w:marTop w:val="0"/>
                              <w:marBottom w:val="0"/>
                              <w:divBdr>
                                <w:top w:val="none" w:sz="0" w:space="0" w:color="auto"/>
                                <w:left w:val="none" w:sz="0" w:space="0" w:color="auto"/>
                                <w:bottom w:val="none" w:sz="0" w:space="0" w:color="auto"/>
                                <w:right w:val="none" w:sz="0" w:space="0" w:color="auto"/>
                              </w:divBdr>
                            </w:div>
                            <w:div w:id="1416703268">
                              <w:marLeft w:val="0"/>
                              <w:marRight w:val="0"/>
                              <w:marTop w:val="0"/>
                              <w:marBottom w:val="0"/>
                              <w:divBdr>
                                <w:top w:val="none" w:sz="0" w:space="0" w:color="auto"/>
                                <w:left w:val="none" w:sz="0" w:space="0" w:color="auto"/>
                                <w:bottom w:val="none" w:sz="0" w:space="0" w:color="auto"/>
                                <w:right w:val="none" w:sz="0" w:space="0" w:color="auto"/>
                              </w:divBdr>
                            </w:div>
                            <w:div w:id="1232734049">
                              <w:marLeft w:val="0"/>
                              <w:marRight w:val="0"/>
                              <w:marTop w:val="0"/>
                              <w:marBottom w:val="0"/>
                              <w:divBdr>
                                <w:top w:val="none" w:sz="0" w:space="0" w:color="auto"/>
                                <w:left w:val="none" w:sz="0" w:space="0" w:color="auto"/>
                                <w:bottom w:val="none" w:sz="0" w:space="0" w:color="auto"/>
                                <w:right w:val="none" w:sz="0" w:space="0" w:color="auto"/>
                              </w:divBdr>
                            </w:div>
                          </w:divsChild>
                        </w:div>
                        <w:div w:id="1752506837">
                          <w:marLeft w:val="0"/>
                          <w:marRight w:val="0"/>
                          <w:marTop w:val="0"/>
                          <w:marBottom w:val="0"/>
                          <w:divBdr>
                            <w:top w:val="none" w:sz="0" w:space="0" w:color="auto"/>
                            <w:left w:val="none" w:sz="0" w:space="0" w:color="auto"/>
                            <w:bottom w:val="none" w:sz="0" w:space="0" w:color="auto"/>
                            <w:right w:val="none" w:sz="0" w:space="0" w:color="auto"/>
                          </w:divBdr>
                        </w:div>
                        <w:div w:id="2099597400">
                          <w:marLeft w:val="0"/>
                          <w:marRight w:val="0"/>
                          <w:marTop w:val="0"/>
                          <w:marBottom w:val="0"/>
                          <w:divBdr>
                            <w:top w:val="none" w:sz="0" w:space="0" w:color="auto"/>
                            <w:left w:val="none" w:sz="0" w:space="0" w:color="auto"/>
                            <w:bottom w:val="none" w:sz="0" w:space="0" w:color="auto"/>
                            <w:right w:val="none" w:sz="0" w:space="0" w:color="auto"/>
                          </w:divBdr>
                        </w:div>
                        <w:div w:id="1492673224">
                          <w:marLeft w:val="0"/>
                          <w:marRight w:val="0"/>
                          <w:marTop w:val="0"/>
                          <w:marBottom w:val="0"/>
                          <w:divBdr>
                            <w:top w:val="none" w:sz="0" w:space="0" w:color="auto"/>
                            <w:left w:val="none" w:sz="0" w:space="0" w:color="auto"/>
                            <w:bottom w:val="none" w:sz="0" w:space="0" w:color="auto"/>
                            <w:right w:val="none" w:sz="0" w:space="0" w:color="auto"/>
                          </w:divBdr>
                        </w:div>
                      </w:divsChild>
                    </w:div>
                    <w:div w:id="1084033978">
                      <w:marLeft w:val="0"/>
                      <w:marRight w:val="0"/>
                      <w:marTop w:val="0"/>
                      <w:marBottom w:val="0"/>
                      <w:divBdr>
                        <w:top w:val="none" w:sz="0" w:space="0" w:color="auto"/>
                        <w:left w:val="none" w:sz="0" w:space="0" w:color="auto"/>
                        <w:bottom w:val="none" w:sz="0" w:space="0" w:color="auto"/>
                        <w:right w:val="none" w:sz="0" w:space="0" w:color="auto"/>
                      </w:divBdr>
                    </w:div>
                    <w:div w:id="1589195360">
                      <w:marLeft w:val="0"/>
                      <w:marRight w:val="0"/>
                      <w:marTop w:val="0"/>
                      <w:marBottom w:val="0"/>
                      <w:divBdr>
                        <w:top w:val="none" w:sz="0" w:space="0" w:color="auto"/>
                        <w:left w:val="none" w:sz="0" w:space="0" w:color="auto"/>
                        <w:bottom w:val="none" w:sz="0" w:space="0" w:color="auto"/>
                        <w:right w:val="none" w:sz="0" w:space="0" w:color="auto"/>
                      </w:divBdr>
                    </w:div>
                    <w:div w:id="455417179">
                      <w:marLeft w:val="0"/>
                      <w:marRight w:val="0"/>
                      <w:marTop w:val="0"/>
                      <w:marBottom w:val="0"/>
                      <w:divBdr>
                        <w:top w:val="none" w:sz="0" w:space="0" w:color="auto"/>
                        <w:left w:val="none" w:sz="0" w:space="0" w:color="auto"/>
                        <w:bottom w:val="none" w:sz="0" w:space="0" w:color="auto"/>
                        <w:right w:val="none" w:sz="0" w:space="0" w:color="auto"/>
                      </w:divBdr>
                    </w:div>
                    <w:div w:id="807554598">
                      <w:marLeft w:val="0"/>
                      <w:marRight w:val="0"/>
                      <w:marTop w:val="0"/>
                      <w:marBottom w:val="0"/>
                      <w:divBdr>
                        <w:top w:val="none" w:sz="0" w:space="0" w:color="auto"/>
                        <w:left w:val="none" w:sz="0" w:space="0" w:color="auto"/>
                        <w:bottom w:val="none" w:sz="0" w:space="0" w:color="auto"/>
                        <w:right w:val="none" w:sz="0" w:space="0" w:color="auto"/>
                      </w:divBdr>
                    </w:div>
                    <w:div w:id="1031296945">
                      <w:marLeft w:val="0"/>
                      <w:marRight w:val="0"/>
                      <w:marTop w:val="0"/>
                      <w:marBottom w:val="0"/>
                      <w:divBdr>
                        <w:top w:val="none" w:sz="0" w:space="0" w:color="auto"/>
                        <w:left w:val="none" w:sz="0" w:space="0" w:color="auto"/>
                        <w:bottom w:val="none" w:sz="0" w:space="0" w:color="auto"/>
                        <w:right w:val="none" w:sz="0" w:space="0" w:color="auto"/>
                      </w:divBdr>
                      <w:divsChild>
                        <w:div w:id="500580410">
                          <w:marLeft w:val="0"/>
                          <w:marRight w:val="0"/>
                          <w:marTop w:val="0"/>
                          <w:marBottom w:val="0"/>
                          <w:divBdr>
                            <w:top w:val="none" w:sz="0" w:space="0" w:color="auto"/>
                            <w:left w:val="none" w:sz="0" w:space="0" w:color="auto"/>
                            <w:bottom w:val="none" w:sz="0" w:space="0" w:color="auto"/>
                            <w:right w:val="none" w:sz="0" w:space="0" w:color="auto"/>
                          </w:divBdr>
                        </w:div>
                        <w:div w:id="2139956255">
                          <w:marLeft w:val="0"/>
                          <w:marRight w:val="0"/>
                          <w:marTop w:val="0"/>
                          <w:marBottom w:val="0"/>
                          <w:divBdr>
                            <w:top w:val="none" w:sz="0" w:space="0" w:color="auto"/>
                            <w:left w:val="none" w:sz="0" w:space="0" w:color="auto"/>
                            <w:bottom w:val="none" w:sz="0" w:space="0" w:color="auto"/>
                            <w:right w:val="none" w:sz="0" w:space="0" w:color="auto"/>
                          </w:divBdr>
                        </w:div>
                        <w:div w:id="1506704604">
                          <w:marLeft w:val="0"/>
                          <w:marRight w:val="0"/>
                          <w:marTop w:val="0"/>
                          <w:marBottom w:val="0"/>
                          <w:divBdr>
                            <w:top w:val="none" w:sz="0" w:space="0" w:color="auto"/>
                            <w:left w:val="none" w:sz="0" w:space="0" w:color="auto"/>
                            <w:bottom w:val="none" w:sz="0" w:space="0" w:color="auto"/>
                            <w:right w:val="none" w:sz="0" w:space="0" w:color="auto"/>
                          </w:divBdr>
                        </w:div>
                      </w:divsChild>
                    </w:div>
                    <w:div w:id="1292976671">
                      <w:marLeft w:val="0"/>
                      <w:marRight w:val="0"/>
                      <w:marTop w:val="0"/>
                      <w:marBottom w:val="0"/>
                      <w:divBdr>
                        <w:top w:val="none" w:sz="0" w:space="0" w:color="auto"/>
                        <w:left w:val="none" w:sz="0" w:space="0" w:color="auto"/>
                        <w:bottom w:val="none" w:sz="0" w:space="0" w:color="auto"/>
                        <w:right w:val="none" w:sz="0" w:space="0" w:color="auto"/>
                      </w:divBdr>
                    </w:div>
                    <w:div w:id="327174020">
                      <w:marLeft w:val="0"/>
                      <w:marRight w:val="0"/>
                      <w:marTop w:val="0"/>
                      <w:marBottom w:val="0"/>
                      <w:divBdr>
                        <w:top w:val="none" w:sz="0" w:space="0" w:color="auto"/>
                        <w:left w:val="none" w:sz="0" w:space="0" w:color="auto"/>
                        <w:bottom w:val="none" w:sz="0" w:space="0" w:color="auto"/>
                        <w:right w:val="none" w:sz="0" w:space="0" w:color="auto"/>
                      </w:divBdr>
                      <w:divsChild>
                        <w:div w:id="1254321159">
                          <w:marLeft w:val="0"/>
                          <w:marRight w:val="0"/>
                          <w:marTop w:val="0"/>
                          <w:marBottom w:val="0"/>
                          <w:divBdr>
                            <w:top w:val="none" w:sz="0" w:space="0" w:color="auto"/>
                            <w:left w:val="none" w:sz="0" w:space="0" w:color="auto"/>
                            <w:bottom w:val="none" w:sz="0" w:space="0" w:color="auto"/>
                            <w:right w:val="none" w:sz="0" w:space="0" w:color="auto"/>
                          </w:divBdr>
                        </w:div>
                        <w:div w:id="2080057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1499288">
          <w:marLeft w:val="0"/>
          <w:marRight w:val="0"/>
          <w:marTop w:val="0"/>
          <w:marBottom w:val="0"/>
          <w:divBdr>
            <w:top w:val="none" w:sz="0" w:space="0" w:color="auto"/>
            <w:left w:val="none" w:sz="0" w:space="0" w:color="auto"/>
            <w:bottom w:val="none" w:sz="0" w:space="0" w:color="auto"/>
            <w:right w:val="none" w:sz="0" w:space="0" w:color="auto"/>
          </w:divBdr>
          <w:divsChild>
            <w:div w:id="2142112430">
              <w:marLeft w:val="0"/>
              <w:marRight w:val="0"/>
              <w:marTop w:val="0"/>
              <w:marBottom w:val="0"/>
              <w:divBdr>
                <w:top w:val="none" w:sz="0" w:space="0" w:color="auto"/>
                <w:left w:val="none" w:sz="0" w:space="0" w:color="auto"/>
                <w:bottom w:val="none" w:sz="0" w:space="0" w:color="auto"/>
                <w:right w:val="none" w:sz="0" w:space="0" w:color="auto"/>
              </w:divBdr>
              <w:divsChild>
                <w:div w:id="192115286">
                  <w:marLeft w:val="0"/>
                  <w:marRight w:val="0"/>
                  <w:marTop w:val="0"/>
                  <w:marBottom w:val="0"/>
                  <w:divBdr>
                    <w:top w:val="none" w:sz="0" w:space="0" w:color="auto"/>
                    <w:left w:val="none" w:sz="0" w:space="0" w:color="auto"/>
                    <w:bottom w:val="none" w:sz="0" w:space="0" w:color="auto"/>
                    <w:right w:val="none" w:sz="0" w:space="0" w:color="auto"/>
                  </w:divBdr>
                  <w:divsChild>
                    <w:div w:id="300156091">
                      <w:marLeft w:val="0"/>
                      <w:marRight w:val="0"/>
                      <w:marTop w:val="0"/>
                      <w:marBottom w:val="0"/>
                      <w:divBdr>
                        <w:top w:val="none" w:sz="0" w:space="0" w:color="auto"/>
                        <w:left w:val="none" w:sz="0" w:space="0" w:color="auto"/>
                        <w:bottom w:val="none" w:sz="0" w:space="0" w:color="auto"/>
                        <w:right w:val="none" w:sz="0" w:space="0" w:color="auto"/>
                      </w:divBdr>
                      <w:divsChild>
                        <w:div w:id="399406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2509</Words>
  <Characters>15807</Characters>
  <Application>Microsoft Office Word</Application>
  <DocSecurity>0</DocSecurity>
  <Lines>131</Lines>
  <Paragraphs>36</Paragraphs>
  <ScaleCrop>false</ScaleCrop>
  <Company/>
  <LinksUpToDate>false</LinksUpToDate>
  <CharactersWithSpaces>18280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Mue7</dc:creator>
  <cp:lastModifiedBy>Mue7</cp:lastModifiedBy>
  <cp:revision>2</cp:revision>
  <dcterms:created xsi:type="dcterms:W3CDTF">2016-01-14T12:08:00Z</dcterms:created>
  <dcterms:modified xsi:type="dcterms:W3CDTF">2016-01-14T12:08:00Z</dcterms:modified>
</cp:coreProperties>
</file>