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D2" w:rsidRDefault="008D5EAB">
      <w:r>
        <w:fldChar w:fldCharType="begin"/>
      </w:r>
      <w:r>
        <w:instrText xml:space="preserve"> HYPERLINK "</w:instrText>
      </w:r>
      <w:r w:rsidRPr="00626C23">
        <w:instrText>http://dejure.org/gesetze/HGB/285.html</w:instrText>
      </w:r>
      <w:r>
        <w:instrText xml:space="preserve">" </w:instrText>
      </w:r>
      <w:r>
        <w:fldChar w:fldCharType="separate"/>
      </w:r>
      <w:r w:rsidRPr="00AF7793">
        <w:rPr>
          <w:rStyle w:val="Hyperlink"/>
        </w:rPr>
        <w:t>http://dejure.org/gesetze/HGB/285.html</w:t>
      </w:r>
      <w:r>
        <w:fldChar w:fldCharType="end"/>
      </w:r>
    </w:p>
    <w:tbl>
      <w:tblPr>
        <w:tblW w:w="0" w:type="auto"/>
        <w:jc w:val="center"/>
        <w:tblCellSpacing w:w="15" w:type="dxa"/>
        <w:tblCellMar>
          <w:top w:w="15" w:type="dxa"/>
          <w:left w:w="15" w:type="dxa"/>
          <w:bottom w:w="15" w:type="dxa"/>
          <w:right w:w="15" w:type="dxa"/>
        </w:tblCellMar>
        <w:tblLook w:val="04A0"/>
      </w:tblPr>
      <w:tblGrid>
        <w:gridCol w:w="96"/>
      </w:tblGrid>
      <w:tr w:rsidR="00626C23" w:rsidRPr="00626C23" w:rsidTr="00626C23">
        <w:trPr>
          <w:tblCellSpacing w:w="15" w:type="dxa"/>
          <w:jc w:val="center"/>
        </w:trPr>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r>
    </w:tbl>
    <w:p w:rsidR="00626C23" w:rsidRPr="00626C23" w:rsidRDefault="00626C23" w:rsidP="00626C23">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626C23">
        <w:rPr>
          <w:rFonts w:ascii="Times New Roman" w:eastAsia="Times New Roman" w:hAnsi="Times New Roman" w:cs="Times New Roman"/>
          <w:b/>
          <w:bCs/>
          <w:sz w:val="27"/>
          <w:szCs w:val="27"/>
          <w:lang w:eastAsia="de-DE"/>
        </w:rPr>
        <w:t>§ 285</w:t>
      </w:r>
      <w:r w:rsidRPr="00626C23">
        <w:rPr>
          <w:rFonts w:ascii="Times New Roman" w:eastAsia="Times New Roman" w:hAnsi="Times New Roman" w:cs="Times New Roman"/>
          <w:b/>
          <w:bCs/>
          <w:sz w:val="27"/>
          <w:szCs w:val="27"/>
          <w:lang w:eastAsia="de-DE"/>
        </w:rPr>
        <w:br/>
        <w:t>Sonstige Pflichtangaben</w:t>
      </w:r>
    </w:p>
    <w:p w:rsidR="00626C23" w:rsidRPr="00626C23" w:rsidRDefault="00626C23" w:rsidP="00626C23">
      <w:pPr>
        <w:spacing w:before="100" w:beforeAutospacing="1" w:after="100" w:afterAutospacing="1"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Ferner sind im Anhang anzugeben:</w:t>
      </w:r>
    </w:p>
    <w:tbl>
      <w:tblPr>
        <w:tblW w:w="0" w:type="auto"/>
        <w:tblCellSpacing w:w="15" w:type="dxa"/>
        <w:tblCellMar>
          <w:top w:w="15" w:type="dxa"/>
          <w:left w:w="15" w:type="dxa"/>
          <w:bottom w:w="15" w:type="dxa"/>
          <w:right w:w="15" w:type="dxa"/>
        </w:tblCellMar>
        <w:tblLook w:val="04A0"/>
      </w:tblPr>
      <w:tblGrid>
        <w:gridCol w:w="204"/>
        <w:gridCol w:w="480"/>
        <w:gridCol w:w="301"/>
        <w:gridCol w:w="380"/>
        <w:gridCol w:w="7797"/>
      </w:tblGrid>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zu den in der Bilanz ausgewiesenen Verbindlichkeiten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der Gesamtbetrag der Verbindlichkeiten mit einer Restlaufzeit von mehr als fünf Jahren,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der Gesamtbetrag der Verbindlichkeiten, die durch Pfandrechte oder ähnliche Rechte gesichert sind, unter Angabe von Art und Form der Sicherheiten;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Aufgliederung der in Nummer 1 verlangten Angaben für jeden Posten der Verbindlichkeiten nach dem vorgeschriebenen Gliederungsschema;</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3.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Art und Zweck sowie Risiken, Vorteile und finanzielle Auswirkungen von nicht in der Bilanz enthaltenen Geschäften, soweit die Risiken und Vorteile wesentlich sind und die Offenlegung für die Beurteilung der Finanzlage des Unternehmens erforderlich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3a.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der Gesamtbetrag der sonstigen finanziellen Verpflichtungen, die nicht in der Bilanz enthalten sind und die nicht nach § </w:t>
            </w:r>
            <w:hyperlink r:id="rId4" w:history="1">
              <w:r w:rsidRPr="00626C23">
                <w:rPr>
                  <w:rFonts w:ascii="Times New Roman" w:eastAsia="Times New Roman" w:hAnsi="Times New Roman" w:cs="Times New Roman"/>
                  <w:color w:val="0000FF"/>
                  <w:sz w:val="24"/>
                  <w:szCs w:val="24"/>
                  <w:u w:val="single"/>
                  <w:lang w:eastAsia="de-DE"/>
                </w:rPr>
                <w:t>268</w:t>
              </w:r>
            </w:hyperlink>
            <w:r w:rsidRPr="00626C23">
              <w:rPr>
                <w:rFonts w:ascii="Times New Roman" w:eastAsia="Times New Roman" w:hAnsi="Times New Roman" w:cs="Times New Roman"/>
                <w:sz w:val="24"/>
                <w:szCs w:val="24"/>
                <w:lang w:eastAsia="de-DE"/>
              </w:rPr>
              <w:t xml:space="preserve"> Absatz 7 oder Nummer 3 anzugeben sind, sofern diese Angabe für die Beurteilung der Finanzlage von Bedeutung ist; davon sind Verpflichtungen betreffend die Altersversorgung und Verpflichtungen gegenüber verbundenen oder assoziierten Unternehmen jeweils gesondert anzugeben;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4.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Aufgliederung der Umsatzerlöse nach Tätigkeitsbereichen sowie nach geografisch bestimmten Märkten, soweit sich unter Berücksichtigung der Organisation des Verkaufs, der Vermietung oder Verpachtung von Produkten und der Erbringung von Dienstleistungen der Kapitalgesellschaft die Tätigkeitsbereiche und geografisch bestimmten Märkte untereinander erheblich unterscheiden;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5.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(weggefallen)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6.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(weggefallen)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7.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durchschnittliche Zahl der während des Geschäftsjahrs beschäftigten Arbeitnehmer getrennt nach Gruppen;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8.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bei Anwendung des Umsatzkostenverfahrens (§ </w:t>
            </w:r>
            <w:hyperlink r:id="rId5" w:history="1">
              <w:r w:rsidRPr="00626C23">
                <w:rPr>
                  <w:rFonts w:ascii="Times New Roman" w:eastAsia="Times New Roman" w:hAnsi="Times New Roman" w:cs="Times New Roman"/>
                  <w:color w:val="0000FF"/>
                  <w:sz w:val="24"/>
                  <w:szCs w:val="24"/>
                  <w:u w:val="single"/>
                  <w:lang w:eastAsia="de-DE"/>
                </w:rPr>
                <w:t>275</w:t>
              </w:r>
            </w:hyperlink>
            <w:r w:rsidRPr="00626C23">
              <w:rPr>
                <w:rFonts w:ascii="Times New Roman" w:eastAsia="Times New Roman" w:hAnsi="Times New Roman" w:cs="Times New Roman"/>
                <w:sz w:val="24"/>
                <w:szCs w:val="24"/>
                <w:lang w:eastAsia="de-DE"/>
              </w:rPr>
              <w:t xml:space="preserve"> Abs. 3)</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der Materialaufwand des Geschäftsjahrs, gegliedert nach § </w:t>
            </w:r>
            <w:hyperlink r:id="rId6" w:history="1">
              <w:r w:rsidRPr="00626C23">
                <w:rPr>
                  <w:rFonts w:ascii="Times New Roman" w:eastAsia="Times New Roman" w:hAnsi="Times New Roman" w:cs="Times New Roman"/>
                  <w:color w:val="0000FF"/>
                  <w:sz w:val="24"/>
                  <w:szCs w:val="24"/>
                  <w:u w:val="single"/>
                  <w:lang w:eastAsia="de-DE"/>
                </w:rPr>
                <w:t>275</w:t>
              </w:r>
            </w:hyperlink>
            <w:r w:rsidRPr="00626C23">
              <w:rPr>
                <w:rFonts w:ascii="Times New Roman" w:eastAsia="Times New Roman" w:hAnsi="Times New Roman" w:cs="Times New Roman"/>
                <w:sz w:val="24"/>
                <w:szCs w:val="24"/>
                <w:lang w:eastAsia="de-DE"/>
              </w:rPr>
              <w:t xml:space="preserve"> Abs. 2 Nr. 5,</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der Personalaufwand des Geschäftsjahrs, gegliedert nach § </w:t>
            </w:r>
            <w:hyperlink r:id="rId7" w:history="1">
              <w:r w:rsidRPr="00626C23">
                <w:rPr>
                  <w:rFonts w:ascii="Times New Roman" w:eastAsia="Times New Roman" w:hAnsi="Times New Roman" w:cs="Times New Roman"/>
                  <w:color w:val="0000FF"/>
                  <w:sz w:val="24"/>
                  <w:szCs w:val="24"/>
                  <w:u w:val="single"/>
                  <w:lang w:eastAsia="de-DE"/>
                </w:rPr>
                <w:t>275</w:t>
              </w:r>
            </w:hyperlink>
            <w:r w:rsidRPr="00626C23">
              <w:rPr>
                <w:rFonts w:ascii="Times New Roman" w:eastAsia="Times New Roman" w:hAnsi="Times New Roman" w:cs="Times New Roman"/>
                <w:sz w:val="24"/>
                <w:szCs w:val="24"/>
                <w:lang w:eastAsia="de-DE"/>
              </w:rPr>
              <w:t xml:space="preserve"> Abs. 2 Nr. 6;</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9.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für die Mitglieder des Geschäftsführungsorgans, eines Aufsichtsrats, eines Beirats oder einer ähnlichen Einrichtung jeweils für jede Personengruppe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die für die Tätigkeit im Geschäftsjahr gewährten Gesamtbezüge (Gehälter, Gewinnbeteiligungen, Bezugsrechte und sonstige aktienbasierte Vergütungen, Aufwandsentschädigungen, Versicherungsentgelte, Provisionen und Nebenleistungen jeder Art). In die Gesamtbezüge sind auch Bezüge einzurechnen, die nicht ausgezahlt, sondern in Ansprüche anderer Art umgewandelt oder zur Erhöhung anderer Ansprüche verwendet werden. Außer den Bezügen für das Geschäftsjahr sind die weiteren Bezüge anzugeben, die im Geschäftsjahr gewährt, bisher aber in keinem Jahresabschluss angegeben worden sind. Bezugsrechte und sonstige aktienbasierte Vergütungen sind mit ihrer Anzahl und dem beizulegenden </w:t>
            </w:r>
            <w:r w:rsidRPr="00626C23">
              <w:rPr>
                <w:rFonts w:ascii="Times New Roman" w:eastAsia="Times New Roman" w:hAnsi="Times New Roman" w:cs="Times New Roman"/>
                <w:sz w:val="24"/>
                <w:szCs w:val="24"/>
                <w:lang w:eastAsia="de-DE"/>
              </w:rPr>
              <w:lastRenderedPageBreak/>
              <w:t xml:space="preserve">Zeitwert zum Zeitpunkt ihrer Gewährung anzugeben; spätere Wertveränderungen, die auf einer Änderung der Ausübungsbedingungen beruhen, sind zu berücksichtigen. Bei einer börsennotierten Aktiengesellschaft sind zusätzlich unter Namensnennung die Bezüge jedes einzelnen Vorstandsmitglieds, aufgeteilt nach erfolgsunabhängigen und erfolgsbezogenen Komponenten sowie Komponenten mit langfristiger </w:t>
            </w:r>
            <w:proofErr w:type="spellStart"/>
            <w:r w:rsidRPr="00626C23">
              <w:rPr>
                <w:rFonts w:ascii="Times New Roman" w:eastAsia="Times New Roman" w:hAnsi="Times New Roman" w:cs="Times New Roman"/>
                <w:sz w:val="24"/>
                <w:szCs w:val="24"/>
                <w:lang w:eastAsia="de-DE"/>
              </w:rPr>
              <w:t>Anreizwirkung</w:t>
            </w:r>
            <w:proofErr w:type="spellEnd"/>
            <w:r w:rsidRPr="00626C23">
              <w:rPr>
                <w:rFonts w:ascii="Times New Roman" w:eastAsia="Times New Roman" w:hAnsi="Times New Roman" w:cs="Times New Roman"/>
                <w:sz w:val="24"/>
                <w:szCs w:val="24"/>
                <w:lang w:eastAsia="de-DE"/>
              </w:rPr>
              <w:t>, gesondert anzugeben. Dies gilt auch für:</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roofErr w:type="spellStart"/>
            <w:r w:rsidRPr="00626C23">
              <w:rPr>
                <w:rFonts w:ascii="Times New Roman" w:eastAsia="Times New Roman" w:hAnsi="Times New Roman" w:cs="Times New Roman"/>
                <w:sz w:val="24"/>
                <w:szCs w:val="24"/>
                <w:lang w:eastAsia="de-DE"/>
              </w:rPr>
              <w:t>aa</w:t>
            </w:r>
            <w:proofErr w:type="spellEnd"/>
            <w:r w:rsidRPr="00626C23">
              <w:rPr>
                <w:rFonts w:ascii="Times New Roman" w:eastAsia="Times New Roman" w:hAnsi="Times New Roman" w:cs="Times New Roman"/>
                <w:sz w:val="24"/>
                <w:szCs w:val="24"/>
                <w:lang w:eastAsia="de-DE"/>
              </w:rPr>
              <w:t xml:space="preserve">) </w:t>
            </w: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Leistungen, die dem Vorstandsmitglied für den Fall einer vorzeitigen Beendigung seiner Tätigkeit zugesagt worden sind;</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roofErr w:type="spellStart"/>
            <w:r w:rsidRPr="00626C23">
              <w:rPr>
                <w:rFonts w:ascii="Times New Roman" w:eastAsia="Times New Roman" w:hAnsi="Times New Roman" w:cs="Times New Roman"/>
                <w:sz w:val="24"/>
                <w:szCs w:val="24"/>
                <w:lang w:eastAsia="de-DE"/>
              </w:rPr>
              <w:t>bb</w:t>
            </w:r>
            <w:proofErr w:type="spellEnd"/>
            <w:r w:rsidRPr="00626C23">
              <w:rPr>
                <w:rFonts w:ascii="Times New Roman" w:eastAsia="Times New Roman" w:hAnsi="Times New Roman" w:cs="Times New Roman"/>
                <w:sz w:val="24"/>
                <w:szCs w:val="24"/>
                <w:lang w:eastAsia="de-DE"/>
              </w:rPr>
              <w:t xml:space="preserve">) </w:t>
            </w: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Leistungen, die dem Vorstandsmitglied für den Fall der regulären Beendigung seiner Tätigkeit zugesagt worden sind, mit ihrem Barwert, sowie den von der Gesellschaft während des Geschäftsjahrs hierfür aufgewandten oder zurückgestellten Betrag;</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cc) </w:t>
            </w: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während des Geschäftsjahrs vereinbarte Änderungen dieser Zusagen;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roofErr w:type="spellStart"/>
            <w:r w:rsidRPr="00626C23">
              <w:rPr>
                <w:rFonts w:ascii="Times New Roman" w:eastAsia="Times New Roman" w:hAnsi="Times New Roman" w:cs="Times New Roman"/>
                <w:sz w:val="24"/>
                <w:szCs w:val="24"/>
                <w:lang w:eastAsia="de-DE"/>
              </w:rPr>
              <w:t>dd</w:t>
            </w:r>
            <w:proofErr w:type="spellEnd"/>
            <w:r w:rsidRPr="00626C23">
              <w:rPr>
                <w:rFonts w:ascii="Times New Roman" w:eastAsia="Times New Roman" w:hAnsi="Times New Roman" w:cs="Times New Roman"/>
                <w:sz w:val="24"/>
                <w:szCs w:val="24"/>
                <w:lang w:eastAsia="de-DE"/>
              </w:rPr>
              <w:t xml:space="preserve">) </w:t>
            </w: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Leistungen, die einem früheren Vorstandsmitglied, das seine Tätigkeit im Laufe des Geschäftsjahrs beendet hat, in diesem Zusammenhang zugesagt und im Laufe des Geschäftsjahrs gewährt worden sind.</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Leistungen, die dem einzelnen Vorstandsmitglied von einem Dritten im Hinblick auf seine Tätigkeit als Vorstandsmitglied zugesagt oder im Geschäftsjahr gewährt worden sind, sind ebenfalls anzugeben. Enthält der Jahresabschluss weitergehende Angaben zu bestimmten Bezügen, sind auch diese zusätzlich einzeln anzugeben;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Gesamtbezüge (Abfindungen, Ruhegehälter, Hinterbliebenenbezüge und Leistungen verwandter Art) der früheren Mitglieder der bezeichneten Organe und ihrer Hinterbliebenen. Buchstabe a Satz 2 und 3 ist entsprechend anzuwenden. Ferner ist der Betrag der für diese Personengruppe gebildeten Rückstellungen für laufende Pensionen und Anwartschaften auf Pensionen und der Betrag der für diese Verpflichtungen nicht gebildeten Rückstellungen anzugeben;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c)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gewährten Vorschüsse und Kredite unter Angabe der Zinssätze, der wesentlichen Bedingungen und der gegebenenfalls im Geschäftsjahr zurückgezahlten oder erlassenen Beträge sowie die zugunsten dieser Personen eingegangenen Haftungsverhältnisse;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10.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alle Mitglieder des Geschäftsführungsorgans und eines Aufsichtsrats, auch wenn sie im Geschäftsjahr oder später ausgeschieden sind, mit dem Familiennamen und mindestens einem ausgeschriebenen Vornamen, einschließlich des ausgeübten Berufs und bei börsennotierten Gesellschaften auch der Mitgliedschaft in Aufsichtsräten und anderen Kontrollgremien im Sinne des § </w:t>
            </w:r>
            <w:hyperlink r:id="rId8" w:history="1">
              <w:r w:rsidRPr="00626C23">
                <w:rPr>
                  <w:rFonts w:ascii="Times New Roman" w:eastAsia="Times New Roman" w:hAnsi="Times New Roman" w:cs="Times New Roman"/>
                  <w:color w:val="0000FF"/>
                  <w:sz w:val="24"/>
                  <w:szCs w:val="24"/>
                  <w:u w:val="single"/>
                  <w:lang w:eastAsia="de-DE"/>
                </w:rPr>
                <w:t>125</w:t>
              </w:r>
            </w:hyperlink>
            <w:r w:rsidRPr="00626C23">
              <w:rPr>
                <w:rFonts w:ascii="Times New Roman" w:eastAsia="Times New Roman" w:hAnsi="Times New Roman" w:cs="Times New Roman"/>
                <w:sz w:val="24"/>
                <w:szCs w:val="24"/>
                <w:lang w:eastAsia="de-DE"/>
              </w:rPr>
              <w:t xml:space="preserve"> Abs. 1 Satz 5 des Aktiengesetzes. Der Vorsitzende eines Aufsichtsrats, seine Stellvertreter und ein etwaiger Vorsitzender des Geschäftsführungsorgans sind als solche zu bezeichnen;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11.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Name und Sitz anderer Unternehmen, die Höhe des Anteils am Kapital, das Eigenkapital und das Ergebnis des letzten Geschäftsjahrs dieser Unternehmen, für das ein Jahresabschluss vorliegt, soweit es sich um Beteiligungen im Sinne des § </w:t>
            </w:r>
            <w:hyperlink r:id="rId9" w:history="1">
              <w:r w:rsidRPr="00626C23">
                <w:rPr>
                  <w:rFonts w:ascii="Times New Roman" w:eastAsia="Times New Roman" w:hAnsi="Times New Roman" w:cs="Times New Roman"/>
                  <w:color w:val="0000FF"/>
                  <w:sz w:val="24"/>
                  <w:szCs w:val="24"/>
                  <w:u w:val="single"/>
                  <w:lang w:eastAsia="de-DE"/>
                </w:rPr>
                <w:t>271</w:t>
              </w:r>
            </w:hyperlink>
            <w:r w:rsidRPr="00626C23">
              <w:rPr>
                <w:rFonts w:ascii="Times New Roman" w:eastAsia="Times New Roman" w:hAnsi="Times New Roman" w:cs="Times New Roman"/>
                <w:sz w:val="24"/>
                <w:szCs w:val="24"/>
                <w:lang w:eastAsia="de-DE"/>
              </w:rPr>
              <w:t xml:space="preserve"> Absatz 1 handelt oder ein solcher Anteil von einer Person für Rechnung der Kapitalgesellschaft gehalten wird;</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11a.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Name, Sitz und Rechtsform der Unternehmen, deren unbeschränkt haftender Gesellschafter die Kapitalgesellschaft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11b.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von börsennotierten Kapitalgesellschaften sind alle Beteiligungen an großen Kapitalgesellschaften anzugeben, die 5 Prozent der Stimmrechte überschreiten;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12.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Rückstellungen, die in der Bilanz unter dem Posten "sonstige Rückstellungen" nicht gesondert ausgewiesen werden, sind zu erläutern, wenn sie einen nicht unerheblichen </w:t>
            </w:r>
            <w:r w:rsidRPr="00626C23">
              <w:rPr>
                <w:rFonts w:ascii="Times New Roman" w:eastAsia="Times New Roman" w:hAnsi="Times New Roman" w:cs="Times New Roman"/>
                <w:sz w:val="24"/>
                <w:szCs w:val="24"/>
                <w:lang w:eastAsia="de-DE"/>
              </w:rPr>
              <w:lastRenderedPageBreak/>
              <w:t>Umfang haben;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13.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jeweils eine Erläuterung des Zeitraums, über den ein entgeltlich erworbener Geschäfts- oder Firmenwert abgeschrieben wird;</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14.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Name und Sitz des Mutterunternehmens der Kapitalgesellschaft, das den Konzernabschluss für den größten Kreis von Unternehmen aufstellt, sowie der Ort, wo der von diesem Mutterunternehmen aufgestellte Konzernabschluss erhältlich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14a.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Name und Sitz des Mutterunternehmens der Kapitalgesellschaft, das den Konzernabschluss für den kleinsten Kreis von Unternehmen aufstellt, sowie der Ort, wo der von diesem Mutterunternehmen aufgestellte Konzernabschluss erhältlich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15.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soweit es sich um den Anhang des Jahresabschlusses einer Personenhandelsgesellschaft im Sinne des § </w:t>
            </w:r>
            <w:hyperlink r:id="rId10" w:history="1">
              <w:r w:rsidRPr="00626C23">
                <w:rPr>
                  <w:rFonts w:ascii="Times New Roman" w:eastAsia="Times New Roman" w:hAnsi="Times New Roman" w:cs="Times New Roman"/>
                  <w:color w:val="0000FF"/>
                  <w:sz w:val="24"/>
                  <w:szCs w:val="24"/>
                  <w:u w:val="single"/>
                  <w:lang w:eastAsia="de-DE"/>
                </w:rPr>
                <w:t>264a</w:t>
              </w:r>
            </w:hyperlink>
            <w:r w:rsidRPr="00626C23">
              <w:rPr>
                <w:rFonts w:ascii="Times New Roman" w:eastAsia="Times New Roman" w:hAnsi="Times New Roman" w:cs="Times New Roman"/>
                <w:sz w:val="24"/>
                <w:szCs w:val="24"/>
                <w:lang w:eastAsia="de-DE"/>
              </w:rPr>
              <w:t xml:space="preserve"> Abs. 1 handelt, Name und Sitz der Gesellschaften, die persönlich haftende Gesellschafter sind, sowie deren gezeichnetes Kapital;</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15a.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das Bestehen von Genussscheinen, Genussrechten, Wandelschuldverschreibungen, Optionsscheinen, Optionen, Besserungsscheinen oder vergleichbaren Wertpapieren oder Rechten, unter Angabe der Anzahl und der Rechte, die sie verbriefen;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16.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dass die nach § </w:t>
            </w:r>
            <w:hyperlink r:id="rId11" w:history="1">
              <w:r w:rsidRPr="00626C23">
                <w:rPr>
                  <w:rFonts w:ascii="Times New Roman" w:eastAsia="Times New Roman" w:hAnsi="Times New Roman" w:cs="Times New Roman"/>
                  <w:color w:val="0000FF"/>
                  <w:sz w:val="24"/>
                  <w:szCs w:val="24"/>
                  <w:u w:val="single"/>
                  <w:lang w:eastAsia="de-DE"/>
                </w:rPr>
                <w:t>161</w:t>
              </w:r>
            </w:hyperlink>
            <w:r w:rsidRPr="00626C23">
              <w:rPr>
                <w:rFonts w:ascii="Times New Roman" w:eastAsia="Times New Roman" w:hAnsi="Times New Roman" w:cs="Times New Roman"/>
                <w:sz w:val="24"/>
                <w:szCs w:val="24"/>
                <w:lang w:eastAsia="de-DE"/>
              </w:rPr>
              <w:t xml:space="preserve"> des Aktiengesetzes vorgeschriebene Erklärung abgegeben und wo sie öffentlich zugänglich gemacht worden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17.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das von dem Abschlussprüfer für das Geschäftsjahr berechnete Gesamthonorar, aufgeschlüsselt in das Honorar für</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Abschlussprüfungsleistungen,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andere Bestätigungsleistungen,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c)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Steuerberatungsleistungen,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sonstige Leistungen,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soweit die Angaben nicht in einem das Unternehmen einbeziehenden Konzernabschluss enthalten sind;</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18.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für zu den Finanzanlagen (§ </w:t>
            </w:r>
            <w:hyperlink r:id="rId12" w:history="1">
              <w:r w:rsidRPr="00626C23">
                <w:rPr>
                  <w:rFonts w:ascii="Times New Roman" w:eastAsia="Times New Roman" w:hAnsi="Times New Roman" w:cs="Times New Roman"/>
                  <w:color w:val="0000FF"/>
                  <w:sz w:val="24"/>
                  <w:szCs w:val="24"/>
                  <w:u w:val="single"/>
                  <w:lang w:eastAsia="de-DE"/>
                </w:rPr>
                <w:t>266</w:t>
              </w:r>
            </w:hyperlink>
            <w:r w:rsidRPr="00626C23">
              <w:rPr>
                <w:rFonts w:ascii="Times New Roman" w:eastAsia="Times New Roman" w:hAnsi="Times New Roman" w:cs="Times New Roman"/>
                <w:sz w:val="24"/>
                <w:szCs w:val="24"/>
                <w:lang w:eastAsia="de-DE"/>
              </w:rPr>
              <w:t xml:space="preserve"> Abs. 2 A. III.) gehörende Finanzinstrumente, die über ihrem beizulegenden Zeitwert ausgewiesen werden, da eine außerplanmäßige Abschreibung nach § </w:t>
            </w:r>
            <w:hyperlink r:id="rId13" w:history="1">
              <w:r w:rsidRPr="00626C23">
                <w:rPr>
                  <w:rFonts w:ascii="Times New Roman" w:eastAsia="Times New Roman" w:hAnsi="Times New Roman" w:cs="Times New Roman"/>
                  <w:color w:val="0000FF"/>
                  <w:sz w:val="24"/>
                  <w:szCs w:val="24"/>
                  <w:u w:val="single"/>
                  <w:lang w:eastAsia="de-DE"/>
                </w:rPr>
                <w:t>253</w:t>
              </w:r>
            </w:hyperlink>
            <w:r w:rsidRPr="00626C23">
              <w:rPr>
                <w:rFonts w:ascii="Times New Roman" w:eastAsia="Times New Roman" w:hAnsi="Times New Roman" w:cs="Times New Roman"/>
                <w:sz w:val="24"/>
                <w:szCs w:val="24"/>
                <w:lang w:eastAsia="de-DE"/>
              </w:rPr>
              <w:t xml:space="preserve"> Absatz 3 Satz 6 unterblieben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der Buchwert und der beizulegende Zeitwert der einzelnen Vermögensgegenstände oder angemessener Gruppierungen sowie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Gründe für das Unterlassen der Abschreibung einschließlich der Anhaltspunkte, die darauf hindeuten, dass die Wertminderung voraussichtlich nicht von Dauer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19.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für jede Kategorie nicht zum beizulegenden Zeitwert bilanzierter derivativer Finanzinstrumente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deren Art und Umfang,</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deren beizulegender Zeitwert, soweit er sich nach § </w:t>
            </w:r>
            <w:hyperlink r:id="rId14" w:history="1">
              <w:r w:rsidRPr="00626C23">
                <w:rPr>
                  <w:rFonts w:ascii="Times New Roman" w:eastAsia="Times New Roman" w:hAnsi="Times New Roman" w:cs="Times New Roman"/>
                  <w:color w:val="0000FF"/>
                  <w:sz w:val="24"/>
                  <w:szCs w:val="24"/>
                  <w:u w:val="single"/>
                  <w:lang w:eastAsia="de-DE"/>
                </w:rPr>
                <w:t>255</w:t>
              </w:r>
            </w:hyperlink>
            <w:r w:rsidRPr="00626C23">
              <w:rPr>
                <w:rFonts w:ascii="Times New Roman" w:eastAsia="Times New Roman" w:hAnsi="Times New Roman" w:cs="Times New Roman"/>
                <w:sz w:val="24"/>
                <w:szCs w:val="24"/>
                <w:lang w:eastAsia="de-DE"/>
              </w:rPr>
              <w:t xml:space="preserve"> Abs. 4 verlässlich ermitteln lässt, unter Angabe der angewandten Bewertungsmethode,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c)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deren Buchwert und der Bilanzposten, in welchem der Buchwert, soweit vorhanden, erfasst ist, sowie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Gründe dafür, warum der beizulegende Zeitwert nicht bestimmt werden kann;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20.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für gemäß § </w:t>
            </w:r>
            <w:hyperlink r:id="rId15" w:history="1">
              <w:r w:rsidRPr="00626C23">
                <w:rPr>
                  <w:rFonts w:ascii="Times New Roman" w:eastAsia="Times New Roman" w:hAnsi="Times New Roman" w:cs="Times New Roman"/>
                  <w:color w:val="0000FF"/>
                  <w:sz w:val="24"/>
                  <w:szCs w:val="24"/>
                  <w:u w:val="single"/>
                  <w:lang w:eastAsia="de-DE"/>
                </w:rPr>
                <w:t>340e</w:t>
              </w:r>
            </w:hyperlink>
            <w:r w:rsidRPr="00626C23">
              <w:rPr>
                <w:rFonts w:ascii="Times New Roman" w:eastAsia="Times New Roman" w:hAnsi="Times New Roman" w:cs="Times New Roman"/>
                <w:sz w:val="24"/>
                <w:szCs w:val="24"/>
                <w:lang w:eastAsia="de-DE"/>
              </w:rPr>
              <w:t xml:space="preserve"> Abs. 3 Satz 1 mit dem beizulegenden Zeitwert bewertete Finanzinstrumente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die grundlegenden Annahmen, die der Bestimmung des beizulegenden Zeitwertes mit Hilfe allgemein anerkannter Bewertungsmethoden zugrunde gelegt wurden, sowie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Umfang und Art jeder Kategorie derivativer Finanzinstrumente einschließlich der wesentlichen Bedingungen, welche die Höhe, den Zeitpunkt und die Sicherheit künftiger Zahlungsströme beeinflussen können;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21.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zumindest die nicht zu marktüblichen Bedingungen zustande gekommenen Geschäfte, soweit sie wesentlich sind, mit nahe stehenden Unternehmen und Personen, einschließlich Angaben zur Art der Beziehung, zum Wert der Geschäfte sowie weiterer Angaben, die für die Beurteilung der Finanzlage notwendig sind; ausgenommen sind Geschäfte mit und zwischen mittel- oder unmittelbar in 100-prozentigem Anteilsbesitz stehenden in einen Konzernabschluss einbezogenen Unternehmen; Angaben über Geschäfte können nach Geschäftsarten zusammengefasst werden, sofern die getrennte Angabe für die Beurteilung der Auswirkungen auf die Finanzlage nicht notwendig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22.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im Fall der Aktivierung nach § </w:t>
            </w:r>
            <w:hyperlink r:id="rId16" w:history="1">
              <w:r w:rsidRPr="00626C23">
                <w:rPr>
                  <w:rFonts w:ascii="Times New Roman" w:eastAsia="Times New Roman" w:hAnsi="Times New Roman" w:cs="Times New Roman"/>
                  <w:color w:val="0000FF"/>
                  <w:sz w:val="24"/>
                  <w:szCs w:val="24"/>
                  <w:u w:val="single"/>
                  <w:lang w:eastAsia="de-DE"/>
                </w:rPr>
                <w:t>248</w:t>
              </w:r>
            </w:hyperlink>
            <w:r w:rsidRPr="00626C23">
              <w:rPr>
                <w:rFonts w:ascii="Times New Roman" w:eastAsia="Times New Roman" w:hAnsi="Times New Roman" w:cs="Times New Roman"/>
                <w:sz w:val="24"/>
                <w:szCs w:val="24"/>
                <w:lang w:eastAsia="de-DE"/>
              </w:rPr>
              <w:t xml:space="preserve"> Abs. 2 der Gesamtbetrag der Forschungs- und Entwicklungskosten des Geschäftsjahrs sowie der davon auf die selbst geschaffenen immateriellen Vermögensgegenstände des Anlagevermögens entfallende Betrag;</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23.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bei Anwendung des § </w:t>
            </w:r>
            <w:hyperlink r:id="rId17" w:history="1">
              <w:r w:rsidRPr="00626C23">
                <w:rPr>
                  <w:rFonts w:ascii="Times New Roman" w:eastAsia="Times New Roman" w:hAnsi="Times New Roman" w:cs="Times New Roman"/>
                  <w:color w:val="0000FF"/>
                  <w:sz w:val="24"/>
                  <w:szCs w:val="24"/>
                  <w:u w:val="single"/>
                  <w:lang w:eastAsia="de-DE"/>
                </w:rPr>
                <w:t>254</w:t>
              </w:r>
            </w:hyperlink>
            <w:r w:rsidRPr="00626C23">
              <w:rPr>
                <w:rFonts w:ascii="Times New Roman" w:eastAsia="Times New Roman" w:hAnsi="Times New Roman" w:cs="Times New Roman"/>
                <w:sz w:val="24"/>
                <w:szCs w:val="24"/>
                <w:lang w:eastAsia="de-DE"/>
              </w:rPr>
              <w: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a)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mit welchem Betrag jeweils Vermögensgegenstände, Schulden, schwebende Geschäfte und mit hoher Wahrscheinlichkeit erwartete Transaktionen zur Absicherung welcher Risiken in welche Arten von Bewertungseinheiten einbezogen sind sowie die Höhe der mit Bewertungseinheiten abgesicherten Risiken,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b)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für die jeweils abgesicherten Risiken, warum, in welchem Umfang und für welchen Zeitraum sich die gegenläufigen Wertänderungen oder Zahlungsströme künftig voraussichtlich ausgleichen einschließlich der Methode der Ermittlung,</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50" w:type="pct"/>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c) </w:t>
            </w:r>
          </w:p>
        </w:tc>
        <w:tc>
          <w:tcPr>
            <w:tcW w:w="0" w:type="auto"/>
            <w:gridSpan w:val="2"/>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eine Erläuterung der mit hoher Wahrscheinlichkeit erwarteten Transaktionen, die in Bewertungseinheiten einbezogen wurden,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soweit die Angaben nicht im Lagebericht gemacht werden;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24.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zu den Rückstellungen für Pensionen und ähnliche Verpflichtungen das angewandte versicherungsmathematische Berechnungsverfahren sowie die grundlegenden Annahmen der Berechnung, wie Zinssatz, erwartete Lohn- und Gehaltssteigerungen und zugrunde gelegte Sterbetafeln;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25.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im Fall der Verrechnung von Vermögensgegenständen und Schulden nach § </w:t>
            </w:r>
            <w:hyperlink r:id="rId18" w:history="1">
              <w:r w:rsidRPr="00626C23">
                <w:rPr>
                  <w:rFonts w:ascii="Times New Roman" w:eastAsia="Times New Roman" w:hAnsi="Times New Roman" w:cs="Times New Roman"/>
                  <w:color w:val="0000FF"/>
                  <w:sz w:val="24"/>
                  <w:szCs w:val="24"/>
                  <w:u w:val="single"/>
                  <w:lang w:eastAsia="de-DE"/>
                </w:rPr>
                <w:t>246</w:t>
              </w:r>
            </w:hyperlink>
            <w:r w:rsidRPr="00626C23">
              <w:rPr>
                <w:rFonts w:ascii="Times New Roman" w:eastAsia="Times New Roman" w:hAnsi="Times New Roman" w:cs="Times New Roman"/>
                <w:sz w:val="24"/>
                <w:szCs w:val="24"/>
                <w:lang w:eastAsia="de-DE"/>
              </w:rPr>
              <w:t xml:space="preserve"> Abs. 2 Satz 2 die Anschaffungskosten und der beizulegende Zeitwert der verrechneten Vermögensgegenstände, der Erfüllungsbetrag der verrechneten Schulden sowie die verrechneten Aufwendungen und Erträge; Nummer 20 Buchstabe a ist entsprechend anzuwenden;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26.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zu Anteilen an Sondervermögen im Sinn des § 1 Absatz 10 des Kapitalanlagegesetzbuchs oder Anlageaktien an Investmentaktiengesellschaften mit veränderlichem Kapital im Sinn der §§ 108 bis 123 des Kapitalanlagegesetzbuchs oder vergleichbaren EU-Investmentvermögen oder vergleichbaren ausländischen Investmentvermögen von mehr als dem zehnten Teil, aufgegliedert nach Anlagezielen, deren Wert im Sinn der §§ 168, 278 des Kapitalanlagegesetzbuchs oder des § 36 des Investmentgesetzes in der bis zum 21. Juli 2013 geltenden Fassung oder vergleichbarer ausländischer Vorschriften über die Ermittlung des Marktwertes, die Differenz zum Buchwert und die für das Geschäftsjahr erfolgte Ausschüttung sowie Beschränkungen in der Möglichkeit der täglichen Rückgabe; darüber hinaus die Gründe dafür, dass eine Abschreibung gemäß § </w:t>
            </w:r>
            <w:hyperlink r:id="rId19" w:history="1">
              <w:r w:rsidRPr="00626C23">
                <w:rPr>
                  <w:rFonts w:ascii="Times New Roman" w:eastAsia="Times New Roman" w:hAnsi="Times New Roman" w:cs="Times New Roman"/>
                  <w:color w:val="0000FF"/>
                  <w:sz w:val="24"/>
                  <w:szCs w:val="24"/>
                  <w:u w:val="single"/>
                  <w:lang w:eastAsia="de-DE"/>
                </w:rPr>
                <w:t>253</w:t>
              </w:r>
            </w:hyperlink>
            <w:r w:rsidRPr="00626C23">
              <w:rPr>
                <w:rFonts w:ascii="Times New Roman" w:eastAsia="Times New Roman" w:hAnsi="Times New Roman" w:cs="Times New Roman"/>
                <w:sz w:val="24"/>
                <w:szCs w:val="24"/>
                <w:lang w:eastAsia="de-DE"/>
              </w:rPr>
              <w:t xml:space="preserve"> Absatz 3 Satz 6 unterblieben ist, einschließlich der Anhaltspunkte, die darauf hindeuten, dass die Wertminderung voraussichtlich nicht von Dauer ist; Nummer 18 ist insoweit nicht anzuwenden;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27.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für nach § </w:t>
            </w:r>
            <w:hyperlink r:id="rId20" w:history="1">
              <w:r w:rsidRPr="00626C23">
                <w:rPr>
                  <w:rFonts w:ascii="Times New Roman" w:eastAsia="Times New Roman" w:hAnsi="Times New Roman" w:cs="Times New Roman"/>
                  <w:color w:val="0000FF"/>
                  <w:sz w:val="24"/>
                  <w:szCs w:val="24"/>
                  <w:u w:val="single"/>
                  <w:lang w:eastAsia="de-DE"/>
                </w:rPr>
                <w:t>268</w:t>
              </w:r>
            </w:hyperlink>
            <w:r w:rsidRPr="00626C23">
              <w:rPr>
                <w:rFonts w:ascii="Times New Roman" w:eastAsia="Times New Roman" w:hAnsi="Times New Roman" w:cs="Times New Roman"/>
                <w:sz w:val="24"/>
                <w:szCs w:val="24"/>
                <w:lang w:eastAsia="de-DE"/>
              </w:rPr>
              <w:t xml:space="preserve"> Abs. 7 im Anhang ausgewiesene Verbindlichkeiten und Haftungsverhältnisse die Gründe der Einschätzung des Risikos der Inanspruchnahme;</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28.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der Gesamtbetrag der Beträge im Sinn des § </w:t>
            </w:r>
            <w:hyperlink r:id="rId21" w:history="1">
              <w:r w:rsidRPr="00626C23">
                <w:rPr>
                  <w:rFonts w:ascii="Times New Roman" w:eastAsia="Times New Roman" w:hAnsi="Times New Roman" w:cs="Times New Roman"/>
                  <w:color w:val="0000FF"/>
                  <w:sz w:val="24"/>
                  <w:szCs w:val="24"/>
                  <w:u w:val="single"/>
                  <w:lang w:eastAsia="de-DE"/>
                </w:rPr>
                <w:t>268</w:t>
              </w:r>
            </w:hyperlink>
            <w:r w:rsidRPr="00626C23">
              <w:rPr>
                <w:rFonts w:ascii="Times New Roman" w:eastAsia="Times New Roman" w:hAnsi="Times New Roman" w:cs="Times New Roman"/>
                <w:sz w:val="24"/>
                <w:szCs w:val="24"/>
                <w:lang w:eastAsia="de-DE"/>
              </w:rPr>
              <w:t xml:space="preserve"> Abs. 8, aufgegliedert in Beträge aus der Aktivierung selbst geschaffener immaterieller Vermögensgegenstände des Anlagevermögens, Beträge aus der Aktivierung latenter Steuern und aus der Aktivierung von Vermögensgegenständen zum beizulegenden Zeitwert;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29.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auf welchen Differenzen oder steuerlichen Verlustvorträgen die latenten Steuern beruhen und mit welchen Steuersätzen die Bewertung erfolgt ist;</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30.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wenn latente Steuerschulden in der Bilanz angesetzt werden, die latenten Steuersalden am Ende des Geschäftsjahrs und die im Laufe des Geschäftsjahrs erfolgten Änderungen dieser Salden;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31.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jeweils der Betrag und die Art der einzelnen Erträge und Aufwendungen von außergewöhnlicher Größenordnung oder außergewöhnlicher Bedeutung, soweit die Beträge nicht von untergeordneter Bedeutung sind;</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32.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eine Erläuterung der einzelnen Erträge und Aufwendungen hinsichtlich ihres Betrags und ihrer Art, die einem anderen Geschäftsjahr zuzurechnen sind, soweit die Beträge nicht von untergeordneter Bedeutung sind;</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33.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Vorgänge von besonderer Bedeutung, die nach dem Schluss des Geschäftsjahrs eingetreten und weder in der Gewinn- und Verlustrechnung noch in der Bilanz berücksichtigt sind, unter Angabe ihrer Art und ihrer finanziellen Auswirkungen;</w:t>
            </w:r>
          </w:p>
        </w:tc>
      </w:tr>
      <w:tr w:rsidR="00626C23" w:rsidRPr="00626C23" w:rsidTr="00626C23">
        <w:trPr>
          <w:tblCellSpacing w:w="15" w:type="dxa"/>
        </w:trPr>
        <w:tc>
          <w:tcPr>
            <w:tcW w:w="180" w:type="dxa"/>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p>
        </w:tc>
        <w:tc>
          <w:tcPr>
            <w:tcW w:w="0" w:type="auto"/>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 xml:space="preserve">34. </w:t>
            </w:r>
          </w:p>
        </w:tc>
        <w:tc>
          <w:tcPr>
            <w:tcW w:w="0" w:type="auto"/>
            <w:gridSpan w:val="3"/>
            <w:vAlign w:val="center"/>
            <w:hideMark/>
          </w:tcPr>
          <w:p w:rsidR="00626C23" w:rsidRPr="00626C23" w:rsidRDefault="00626C23" w:rsidP="00626C23">
            <w:pPr>
              <w:spacing w:after="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sz w:val="24"/>
                <w:szCs w:val="24"/>
                <w:lang w:eastAsia="de-DE"/>
              </w:rPr>
              <w:t>der Vorschlag für die Verwendung des Ergebnisses oder der Beschluss über seine Verwendung.</w:t>
            </w:r>
          </w:p>
        </w:tc>
      </w:tr>
    </w:tbl>
    <w:p w:rsidR="00626C23" w:rsidRPr="00626C23" w:rsidRDefault="00626C23" w:rsidP="00626C23">
      <w:pPr>
        <w:spacing w:after="100" w:line="240" w:lineRule="auto"/>
        <w:rPr>
          <w:rFonts w:ascii="Times New Roman" w:eastAsia="Times New Roman" w:hAnsi="Times New Roman" w:cs="Times New Roman"/>
          <w:sz w:val="24"/>
          <w:szCs w:val="24"/>
          <w:lang w:eastAsia="de-DE"/>
        </w:rPr>
      </w:pPr>
      <w:r w:rsidRPr="00626C23">
        <w:rPr>
          <w:rFonts w:ascii="Times New Roman" w:eastAsia="Times New Roman" w:hAnsi="Times New Roman" w:cs="Times New Roman"/>
          <w:b/>
          <w:bCs/>
          <w:sz w:val="24"/>
          <w:szCs w:val="24"/>
          <w:lang w:eastAsia="de-DE"/>
        </w:rPr>
        <w:t>Hinweis der Redaktion:</w:t>
      </w:r>
    </w:p>
    <w:p w:rsidR="00626C23" w:rsidRDefault="00626C23"/>
    <w:sectPr w:rsidR="00626C23"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26C23"/>
    <w:rsid w:val="0012634A"/>
    <w:rsid w:val="00196583"/>
    <w:rsid w:val="001D20B3"/>
    <w:rsid w:val="004D59D2"/>
    <w:rsid w:val="005E2517"/>
    <w:rsid w:val="00626C23"/>
    <w:rsid w:val="008D5EAB"/>
    <w:rsid w:val="008E1953"/>
    <w:rsid w:val="0091552D"/>
    <w:rsid w:val="00966ACF"/>
    <w:rsid w:val="00AF51B0"/>
    <w:rsid w:val="00D9099C"/>
    <w:rsid w:val="00ED3A27"/>
    <w:rsid w:val="00ED79AD"/>
    <w:rsid w:val="00F83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paragraph" w:styleId="berschrift3">
    <w:name w:val="heading 3"/>
    <w:basedOn w:val="Standard"/>
    <w:link w:val="berschrift3Zchn"/>
    <w:uiPriority w:val="9"/>
    <w:qFormat/>
    <w:rsid w:val="00626C23"/>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626C23"/>
    <w:rPr>
      <w:rFonts w:ascii="Times New Roman" w:eastAsia="Times New Roman" w:hAnsi="Times New Roman" w:cs="Times New Roman"/>
      <w:b/>
      <w:bCs/>
      <w:sz w:val="27"/>
      <w:szCs w:val="27"/>
      <w:lang w:eastAsia="de-DE"/>
    </w:rPr>
  </w:style>
  <w:style w:type="character" w:styleId="Hyperlink">
    <w:name w:val="Hyperlink"/>
    <w:basedOn w:val="Absatz-Standardschriftart"/>
    <w:uiPriority w:val="99"/>
    <w:unhideWhenUsed/>
    <w:rsid w:val="00626C23"/>
    <w:rPr>
      <w:color w:val="0000FF"/>
      <w:u w:val="single"/>
    </w:rPr>
  </w:style>
  <w:style w:type="paragraph" w:styleId="StandardWeb">
    <w:name w:val="Normal (Web)"/>
    <w:basedOn w:val="Standard"/>
    <w:uiPriority w:val="99"/>
    <w:semiHidden/>
    <w:unhideWhenUsed/>
    <w:rsid w:val="00626C2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2073768296">
      <w:bodyDiv w:val="1"/>
      <w:marLeft w:val="0"/>
      <w:marRight w:val="0"/>
      <w:marTop w:val="0"/>
      <w:marBottom w:val="0"/>
      <w:divBdr>
        <w:top w:val="none" w:sz="0" w:space="0" w:color="auto"/>
        <w:left w:val="none" w:sz="0" w:space="0" w:color="auto"/>
        <w:bottom w:val="none" w:sz="0" w:space="0" w:color="auto"/>
        <w:right w:val="none" w:sz="0" w:space="0" w:color="auto"/>
      </w:divBdr>
      <w:divsChild>
        <w:div w:id="1635021933">
          <w:marLeft w:val="0"/>
          <w:marRight w:val="0"/>
          <w:marTop w:val="0"/>
          <w:marBottom w:val="0"/>
          <w:divBdr>
            <w:top w:val="none" w:sz="0" w:space="0" w:color="auto"/>
            <w:left w:val="none" w:sz="0" w:space="0" w:color="auto"/>
            <w:bottom w:val="none" w:sz="0" w:space="0" w:color="auto"/>
            <w:right w:val="none" w:sz="0" w:space="0" w:color="auto"/>
          </w:divBdr>
        </w:div>
        <w:div w:id="846406992">
          <w:marLeft w:val="0"/>
          <w:marRight w:val="0"/>
          <w:marTop w:val="0"/>
          <w:marBottom w:val="0"/>
          <w:divBdr>
            <w:top w:val="none" w:sz="0" w:space="0" w:color="auto"/>
            <w:left w:val="none" w:sz="0" w:space="0" w:color="auto"/>
            <w:bottom w:val="none" w:sz="0" w:space="0" w:color="auto"/>
            <w:right w:val="none" w:sz="0" w:space="0" w:color="auto"/>
          </w:divBdr>
          <w:divsChild>
            <w:div w:id="662976816">
              <w:marLeft w:val="0"/>
              <w:marRight w:val="0"/>
              <w:marTop w:val="0"/>
              <w:marBottom w:val="0"/>
              <w:divBdr>
                <w:top w:val="none" w:sz="0" w:space="0" w:color="auto"/>
                <w:left w:val="none" w:sz="0" w:space="0" w:color="auto"/>
                <w:bottom w:val="none" w:sz="0" w:space="0" w:color="auto"/>
                <w:right w:val="none" w:sz="0" w:space="0" w:color="auto"/>
              </w:divBdr>
            </w:div>
            <w:div w:id="44531075">
              <w:marLeft w:val="0"/>
              <w:marRight w:val="0"/>
              <w:marTop w:val="0"/>
              <w:marBottom w:val="0"/>
              <w:divBdr>
                <w:top w:val="none" w:sz="0" w:space="0" w:color="auto"/>
                <w:left w:val="none" w:sz="0" w:space="0" w:color="auto"/>
                <w:bottom w:val="none" w:sz="0" w:space="0" w:color="auto"/>
                <w:right w:val="none" w:sz="0" w:space="0" w:color="auto"/>
              </w:divBdr>
              <w:divsChild>
                <w:div w:id="178275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jure.org/gesetze/AktG/125.html" TargetMode="External"/><Relationship Id="rId13" Type="http://schemas.openxmlformats.org/officeDocument/2006/relationships/hyperlink" Target="http://dejure.org/gesetze/HGB/253.html" TargetMode="External"/><Relationship Id="rId18" Type="http://schemas.openxmlformats.org/officeDocument/2006/relationships/hyperlink" Target="http://dejure.org/gesetze/HGB/246.html" TargetMode="External"/><Relationship Id="rId3" Type="http://schemas.openxmlformats.org/officeDocument/2006/relationships/webSettings" Target="webSettings.xml"/><Relationship Id="rId21" Type="http://schemas.openxmlformats.org/officeDocument/2006/relationships/hyperlink" Target="http://dejure.org/gesetze/HGB/268.html" TargetMode="External"/><Relationship Id="rId7" Type="http://schemas.openxmlformats.org/officeDocument/2006/relationships/hyperlink" Target="http://dejure.org/gesetze/HGB/275.html" TargetMode="External"/><Relationship Id="rId12" Type="http://schemas.openxmlformats.org/officeDocument/2006/relationships/hyperlink" Target="http://dejure.org/gesetze/HGB/266.html" TargetMode="External"/><Relationship Id="rId17" Type="http://schemas.openxmlformats.org/officeDocument/2006/relationships/hyperlink" Target="http://dejure.org/gesetze/HGB/254.html" TargetMode="External"/><Relationship Id="rId2" Type="http://schemas.openxmlformats.org/officeDocument/2006/relationships/settings" Target="settings.xml"/><Relationship Id="rId16" Type="http://schemas.openxmlformats.org/officeDocument/2006/relationships/hyperlink" Target="http://dejure.org/gesetze/HGB/248.html" TargetMode="External"/><Relationship Id="rId20" Type="http://schemas.openxmlformats.org/officeDocument/2006/relationships/hyperlink" Target="http://dejure.org/gesetze/HGB/268.html" TargetMode="External"/><Relationship Id="rId1" Type="http://schemas.openxmlformats.org/officeDocument/2006/relationships/styles" Target="styles.xml"/><Relationship Id="rId6" Type="http://schemas.openxmlformats.org/officeDocument/2006/relationships/hyperlink" Target="http://dejure.org/gesetze/HGB/275.html" TargetMode="External"/><Relationship Id="rId11" Type="http://schemas.openxmlformats.org/officeDocument/2006/relationships/hyperlink" Target="http://dejure.org/gesetze/AktG/161.html" TargetMode="External"/><Relationship Id="rId5" Type="http://schemas.openxmlformats.org/officeDocument/2006/relationships/hyperlink" Target="http://dejure.org/gesetze/HGB/275.html" TargetMode="External"/><Relationship Id="rId15" Type="http://schemas.openxmlformats.org/officeDocument/2006/relationships/hyperlink" Target="http://dejure.org/gesetze/HGB/340e.html" TargetMode="External"/><Relationship Id="rId23" Type="http://schemas.openxmlformats.org/officeDocument/2006/relationships/theme" Target="theme/theme1.xml"/><Relationship Id="rId10" Type="http://schemas.openxmlformats.org/officeDocument/2006/relationships/hyperlink" Target="http://dejure.org/gesetze/HGB/264a.html" TargetMode="External"/><Relationship Id="rId19" Type="http://schemas.openxmlformats.org/officeDocument/2006/relationships/hyperlink" Target="http://dejure.org/gesetze/HGB/253.html" TargetMode="External"/><Relationship Id="rId4" Type="http://schemas.openxmlformats.org/officeDocument/2006/relationships/hyperlink" Target="http://dejure.org/gesetze/HGB/268.html" TargetMode="External"/><Relationship Id="rId9" Type="http://schemas.openxmlformats.org/officeDocument/2006/relationships/hyperlink" Target="http://dejure.org/gesetze/HGB/271.html" TargetMode="External"/><Relationship Id="rId14" Type="http://schemas.openxmlformats.org/officeDocument/2006/relationships/hyperlink" Target="http://dejure.org/gesetze/HGB/255.html"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2090</Words>
  <Characters>13168</Characters>
  <Application>Microsoft Office Word</Application>
  <DocSecurity>0</DocSecurity>
  <Lines>109</Lines>
  <Paragraphs>30</Paragraphs>
  <ScaleCrop>false</ScaleCrop>
  <Company/>
  <LinksUpToDate>false</LinksUpToDate>
  <CharactersWithSpaces>15228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3</cp:revision>
  <dcterms:created xsi:type="dcterms:W3CDTF">2016-01-14T11:27:00Z</dcterms:created>
  <dcterms:modified xsi:type="dcterms:W3CDTF">2016-01-14T11:52:00Z</dcterms:modified>
</cp:coreProperties>
</file>