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9D2" w:rsidRDefault="008A0B53">
      <w:hyperlink r:id="rId4" w:history="1">
        <w:r w:rsidRPr="005D0523">
          <w:rPr>
            <w:rStyle w:val="Hyperlink"/>
          </w:rPr>
          <w:t>https://dejure.org/gesetze/UStG/16.html</w:t>
        </w:r>
      </w:hyperlink>
    </w:p>
    <w:p w:rsidR="008A0B53" w:rsidRDefault="008A0B53"/>
    <w:p w:rsidR="008A0B53" w:rsidRDefault="008A0B53" w:rsidP="008A0B53">
      <w:pPr>
        <w:pStyle w:val="berschrift2"/>
      </w:pPr>
      <w:hyperlink r:id="rId5" w:history="1">
        <w:r>
          <w:rPr>
            <w:rStyle w:val="Hyperlink"/>
          </w:rPr>
          <w:t>Umsatzsteuergesetz</w:t>
        </w:r>
      </w:hyperlink>
    </w:p>
    <w:tbl>
      <w:tblPr>
        <w:tblW w:w="0" w:type="auto"/>
        <w:jc w:val="center"/>
        <w:tblCellSpacing w:w="15" w:type="dxa"/>
        <w:tblCellMar>
          <w:top w:w="15" w:type="dxa"/>
          <w:left w:w="15" w:type="dxa"/>
          <w:bottom w:w="15" w:type="dxa"/>
          <w:right w:w="15" w:type="dxa"/>
        </w:tblCellMar>
        <w:tblLook w:val="04A0"/>
      </w:tblPr>
      <w:tblGrid>
        <w:gridCol w:w="225"/>
        <w:gridCol w:w="4096"/>
        <w:gridCol w:w="225"/>
      </w:tblGrid>
      <w:tr w:rsidR="008A0B53" w:rsidTr="008A0B53">
        <w:trPr>
          <w:tblCellSpacing w:w="15" w:type="dxa"/>
          <w:jc w:val="center"/>
        </w:trPr>
        <w:tc>
          <w:tcPr>
            <w:tcW w:w="0" w:type="auto"/>
            <w:vAlign w:val="center"/>
            <w:hideMark/>
          </w:tcPr>
          <w:p w:rsidR="008A0B53" w:rsidRDefault="008A0B53">
            <w:pPr>
              <w:rPr>
                <w:sz w:val="24"/>
                <w:szCs w:val="24"/>
              </w:rPr>
            </w:pPr>
            <w:r>
              <w:t>   </w:t>
            </w:r>
          </w:p>
        </w:tc>
        <w:tc>
          <w:tcPr>
            <w:tcW w:w="0" w:type="auto"/>
            <w:vAlign w:val="center"/>
            <w:hideMark/>
          </w:tcPr>
          <w:p w:rsidR="008A0B53" w:rsidRDefault="008A0B53">
            <w:pPr>
              <w:rPr>
                <w:sz w:val="24"/>
                <w:szCs w:val="24"/>
              </w:rPr>
            </w:pPr>
            <w:r>
              <w:t xml:space="preserve">Fünfter Abschnitt - Besteuerung (§§ </w:t>
            </w:r>
            <w:hyperlink r:id="rId6" w:history="1">
              <w:r>
                <w:rPr>
                  <w:rStyle w:val="Hyperlink"/>
                </w:rPr>
                <w:t>16</w:t>
              </w:r>
            </w:hyperlink>
            <w:r>
              <w:t xml:space="preserve"> - </w:t>
            </w:r>
            <w:hyperlink r:id="rId7" w:history="1">
              <w:r>
                <w:rPr>
                  <w:rStyle w:val="Hyperlink"/>
                </w:rPr>
                <w:t>22e</w:t>
              </w:r>
            </w:hyperlink>
            <w:r>
              <w:t>)</w:t>
            </w:r>
          </w:p>
        </w:tc>
        <w:tc>
          <w:tcPr>
            <w:tcW w:w="0" w:type="auto"/>
            <w:vAlign w:val="center"/>
            <w:hideMark/>
          </w:tcPr>
          <w:p w:rsidR="008A0B53" w:rsidRDefault="008A0B53">
            <w:pPr>
              <w:rPr>
                <w:sz w:val="24"/>
                <w:szCs w:val="24"/>
              </w:rPr>
            </w:pPr>
            <w:r>
              <w:t>   </w:t>
            </w:r>
          </w:p>
        </w:tc>
      </w:tr>
    </w:tbl>
    <w:p w:rsidR="008A0B53" w:rsidRDefault="008A0B53" w:rsidP="008A0B53">
      <w:pPr>
        <w:pStyle w:val="berschrift3"/>
      </w:pPr>
      <w:r>
        <w:t>§ 16</w:t>
      </w:r>
      <w:r>
        <w:br/>
        <w:t>Steuerberechnung, Besteuerungszeitraum und Einzelbesteuerung</w:t>
      </w:r>
    </w:p>
    <w:p w:rsidR="008A0B53" w:rsidRDefault="008A0B53" w:rsidP="008A0B53">
      <w:pPr>
        <w:pStyle w:val="StandardWeb"/>
      </w:pPr>
      <w:r>
        <w:t xml:space="preserve">(1) Die Steuer ist, soweit nicht § </w:t>
      </w:r>
      <w:hyperlink r:id="rId8" w:history="1">
        <w:r>
          <w:rPr>
            <w:rStyle w:val="Hyperlink"/>
          </w:rPr>
          <w:t>20</w:t>
        </w:r>
      </w:hyperlink>
      <w:r>
        <w:t xml:space="preserve"> gilt, nach vereinbarten Entgelten zu berechnen. Besteuerungszeitraum ist das Kalenderjahr. Bei der Berechnung der Steuer ist von der Summe der Umsätze nach § </w:t>
      </w:r>
      <w:hyperlink r:id="rId9" w:history="1">
        <w:r>
          <w:rPr>
            <w:rStyle w:val="Hyperlink"/>
          </w:rPr>
          <w:t>1</w:t>
        </w:r>
      </w:hyperlink>
      <w:r>
        <w:t xml:space="preserve"> Abs. 1 Nr. 1 und 5 auszugehen, soweit für sie die Steuer in dem Besteuerungszeitraum entstanden und die Steuerschuldnerschaft gegeben ist. Der Steuer sind die nach § </w:t>
      </w:r>
      <w:hyperlink r:id="rId10" w:history="1">
        <w:r>
          <w:rPr>
            <w:rStyle w:val="Hyperlink"/>
          </w:rPr>
          <w:t>6a</w:t>
        </w:r>
      </w:hyperlink>
      <w:r>
        <w:t xml:space="preserve"> Abs. 4 Satz 2, nach § </w:t>
      </w:r>
      <w:hyperlink r:id="rId11" w:history="1">
        <w:r>
          <w:rPr>
            <w:rStyle w:val="Hyperlink"/>
          </w:rPr>
          <w:t>14c</w:t>
        </w:r>
      </w:hyperlink>
      <w:r>
        <w:t xml:space="preserve"> sowie nach § </w:t>
      </w:r>
      <w:hyperlink r:id="rId12" w:history="1">
        <w:r>
          <w:rPr>
            <w:rStyle w:val="Hyperlink"/>
          </w:rPr>
          <w:t>17</w:t>
        </w:r>
      </w:hyperlink>
      <w:r>
        <w:t xml:space="preserve"> Abs. 1 Satz 6 geschuldeten Steuerbeträge hinzuzurechnen.</w:t>
      </w:r>
    </w:p>
    <w:p w:rsidR="008A0B53" w:rsidRDefault="008A0B53" w:rsidP="008A0B53">
      <w:pPr>
        <w:pStyle w:val="StandardWeb"/>
      </w:pPr>
      <w:r>
        <w:t xml:space="preserve">(1a) Macht ein nicht im Gemeinschaftsgebiet ansässiger Unternehmer von § </w:t>
      </w:r>
      <w:hyperlink r:id="rId13" w:history="1">
        <w:r>
          <w:rPr>
            <w:rStyle w:val="Hyperlink"/>
          </w:rPr>
          <w:t>18</w:t>
        </w:r>
      </w:hyperlink>
      <w:r>
        <w:t xml:space="preserve"> Abs. 4c Gebrauch, ist Besteuerungszeitraum das Kalendervierteljahr. Bei der Berechnung der Steuer ist von der Summe der Umsätze nach § </w:t>
      </w:r>
      <w:hyperlink r:id="rId14" w:history="1">
        <w:r>
          <w:rPr>
            <w:rStyle w:val="Hyperlink"/>
          </w:rPr>
          <w:t>3a</w:t>
        </w:r>
      </w:hyperlink>
      <w:r>
        <w:t xml:space="preserve"> Abs. 5 auszugehen, die im Gemeinschaftsgebiet steuerbar sind, soweit für sie in dem Besteuerungszeitraum die Steuer entstanden und die Steuerschuldnerschaft gegeben ist. Absatz 2 ist nicht anzuwenden.</w:t>
      </w:r>
    </w:p>
    <w:p w:rsidR="008A0B53" w:rsidRDefault="008A0B53" w:rsidP="008A0B53">
      <w:pPr>
        <w:pStyle w:val="StandardWeb"/>
      </w:pPr>
      <w:r>
        <w:t xml:space="preserve">(1b) Macht ein im übrigen Gemeinschaftsgebiet ansässiger Unternehmer (§ </w:t>
      </w:r>
      <w:hyperlink r:id="rId15" w:history="1">
        <w:r>
          <w:rPr>
            <w:rStyle w:val="Hyperlink"/>
          </w:rPr>
          <w:t>13b</w:t>
        </w:r>
      </w:hyperlink>
      <w:r>
        <w:t xml:space="preserve"> Absatz 7 Satz 2) von § </w:t>
      </w:r>
      <w:hyperlink r:id="rId16" w:history="1">
        <w:r>
          <w:rPr>
            <w:rStyle w:val="Hyperlink"/>
          </w:rPr>
          <w:t>18</w:t>
        </w:r>
      </w:hyperlink>
      <w:r>
        <w:t xml:space="preserve"> Absatz 4e Gebrauch, ist Besteuerungszeitraum das Kalendervierteljahr. Bei der Berechnung der Steuer ist von der Summe der Umsätze nach § </w:t>
      </w:r>
      <w:hyperlink r:id="rId17" w:history="1">
        <w:r>
          <w:rPr>
            <w:rStyle w:val="Hyperlink"/>
          </w:rPr>
          <w:t>3a</w:t>
        </w:r>
      </w:hyperlink>
      <w:r>
        <w:t xml:space="preserve"> Absatz 5 auszugehen, die im Inland steuerbar sind, soweit für sie in dem Besteuerungszeitraum die Steuer entstanden und die Steuerschuldnerschaft gegeben ist. Absatz 2 ist nicht anzuwenden.</w:t>
      </w:r>
    </w:p>
    <w:p w:rsidR="008A0B53" w:rsidRDefault="008A0B53" w:rsidP="008A0B53">
      <w:pPr>
        <w:pStyle w:val="StandardWeb"/>
      </w:pPr>
      <w:r>
        <w:t xml:space="preserve">(2) Von der nach Absatz 1 berechneten Steuer sind die in den Besteuerungszeitraum fallenden, nach § </w:t>
      </w:r>
      <w:hyperlink r:id="rId18" w:history="1">
        <w:r>
          <w:rPr>
            <w:rStyle w:val="Hyperlink"/>
          </w:rPr>
          <w:t>15</w:t>
        </w:r>
      </w:hyperlink>
      <w:r>
        <w:t xml:space="preserve"> abziehbaren Vorsteuerbeträge abzusetzen. § </w:t>
      </w:r>
      <w:hyperlink r:id="rId19" w:history="1">
        <w:r>
          <w:rPr>
            <w:rStyle w:val="Hyperlink"/>
          </w:rPr>
          <w:t>15a</w:t>
        </w:r>
      </w:hyperlink>
      <w:r>
        <w:t xml:space="preserve"> ist zu berücksichtigen.</w:t>
      </w:r>
    </w:p>
    <w:p w:rsidR="008A0B53" w:rsidRDefault="008A0B53" w:rsidP="008A0B53">
      <w:pPr>
        <w:pStyle w:val="StandardWeb"/>
      </w:pPr>
      <w:r>
        <w:t>(3) Hat der Unternehmer seine gewerbliche oder berufliche Tätigkeit nur in einem Teil des Kalenderjahres ausgeübt, so tritt dieser Teil an die Stelle des Kalenderjahres.</w:t>
      </w:r>
    </w:p>
    <w:p w:rsidR="008A0B53" w:rsidRDefault="008A0B53" w:rsidP="008A0B53">
      <w:pPr>
        <w:pStyle w:val="StandardWeb"/>
      </w:pPr>
      <w:r>
        <w:t>(4) Abweichend von den Absätzen 1, 2 und 3 kann das Finanzamt einen kürzeren Besteuerungszeitraum bestimmen, wenn der Eingang der Steuer gefährdet erscheint oder der Unternehmer damit einverstanden ist.</w:t>
      </w:r>
    </w:p>
    <w:p w:rsidR="008A0B53" w:rsidRDefault="008A0B53" w:rsidP="008A0B53">
      <w:pPr>
        <w:pStyle w:val="StandardWeb"/>
      </w:pPr>
      <w:r>
        <w:t xml:space="preserve">(5) Bei Beförderungen von Personen im Gelegenheitsverkehr mit Kraftomnibussen, die nicht im Inland zugelassen sind, wird die Steuer, abweichend von Absatz 1, für jeden einzelnen steuerpflichtigen Umsatz durch die zuständige Zolldienststelle berechnet (Beförderungseinzelbesteuerung), wenn eine Grenze zum Drittlandsgebiet überschritten wird. Zuständige Zolldienststelle ist die Eingangszollstelle oder Ausgangszollstelle, bei der der Kraftomnibus in das Inland gelangt oder das Inland verlässt. Die zuständige Zolldienststelle handelt bei der Beförderungseinzelbesteuerung für das Finanzamt, in dessen Bezirk sie liegt (zuständiges Finanzamt). Absatz 2 und § </w:t>
      </w:r>
      <w:hyperlink r:id="rId20" w:history="1">
        <w:r>
          <w:rPr>
            <w:rStyle w:val="Hyperlink"/>
          </w:rPr>
          <w:t>19</w:t>
        </w:r>
      </w:hyperlink>
      <w:r>
        <w:t xml:space="preserve"> Abs. 1 sind bei der Beförderungseinzelbesteuerung nicht anzuwenden.</w:t>
      </w:r>
    </w:p>
    <w:p w:rsidR="008A0B53" w:rsidRDefault="008A0B53" w:rsidP="008A0B53">
      <w:pPr>
        <w:pStyle w:val="StandardWeb"/>
      </w:pPr>
      <w:r>
        <w:lastRenderedPageBreak/>
        <w:t xml:space="preserve">(5a) Beim innergemeinschaftlichen Erwerb neuer Fahrzeuge durch andere Erwerber als die in § </w:t>
      </w:r>
      <w:hyperlink r:id="rId21" w:history="1">
        <w:r>
          <w:rPr>
            <w:rStyle w:val="Hyperlink"/>
          </w:rPr>
          <w:t>1a</w:t>
        </w:r>
      </w:hyperlink>
      <w:r>
        <w:t xml:space="preserve"> Abs. 1 Nr. 2 genannten Personen ist die Steuer abweichend von Absatz 1 für jeden einzelnen steuerpflichtigen Erwerb zu berechnen (Fahrzeugeinzelbesteuerung).</w:t>
      </w:r>
    </w:p>
    <w:p w:rsidR="008A0B53" w:rsidRDefault="008A0B53" w:rsidP="008A0B53">
      <w:pPr>
        <w:pStyle w:val="StandardWeb"/>
      </w:pPr>
      <w:r>
        <w:t>(5b) Auf Antrag des Unternehmers ist nach Ablauf des Besteuerungszeitraums an Stelle der Beförderungseinzelbesteuerung (Absatz 5) die Steuer nach den Absätzen 1 und 2 zu berechnen. Die Absätze 3 und 4 gelten entsprechend.</w:t>
      </w:r>
    </w:p>
    <w:p w:rsidR="008A0B53" w:rsidRDefault="008A0B53" w:rsidP="008A0B53">
      <w:pPr>
        <w:pStyle w:val="StandardWeb"/>
      </w:pPr>
      <w:r>
        <w:t xml:space="preserve">(6) Werte in fremder Währung sind zur Berechnung der Steuer und der abziehbaren Vorsteuerbeträge auf Euro nach den Durchschnittskursen umzurechnen, die das Bundesministerium der Finanzen für den Monat öffentlich bekannt gibt, in dem die Leistung ausgeführt oder das Entgelt oder ein Teil des Entgelts vor Ausführung der Leistung (§ </w:t>
      </w:r>
      <w:hyperlink r:id="rId22" w:history="1">
        <w:r>
          <w:rPr>
            <w:rStyle w:val="Hyperlink"/>
          </w:rPr>
          <w:t>13</w:t>
        </w:r>
      </w:hyperlink>
      <w:r>
        <w:t xml:space="preserve"> Abs. 1 Nr. 1 Buchstabe a Satz 4) vereinnahmt wird. Ist dem leistenden Unternehmer die Berechnung der Steuer nach vereinnahmten Entgelten gestattet (§ </w:t>
      </w:r>
      <w:hyperlink r:id="rId23" w:history="1">
        <w:r>
          <w:rPr>
            <w:rStyle w:val="Hyperlink"/>
          </w:rPr>
          <w:t>20</w:t>
        </w:r>
      </w:hyperlink>
      <w:r>
        <w:t xml:space="preserve">), so sind die Entgelte nach den Durchschnittskursen des Monats umzurechnen, in dem sie vereinnahmt werden. Das Finanzamt kann die Umrechnung nach dem Tageskurs, der durch Bankmitteilung oder Kurszettel nachzuweisen ist, gestatten. Macht ein nicht im Gemeinschaftsgebiet ansässiger Unternehmer von § </w:t>
      </w:r>
      <w:hyperlink r:id="rId24" w:history="1">
        <w:r>
          <w:rPr>
            <w:rStyle w:val="Hyperlink"/>
          </w:rPr>
          <w:t>18</w:t>
        </w:r>
      </w:hyperlink>
      <w:r>
        <w:t xml:space="preserve"> Absatz 4c Gebrauch, hat er zur Berechnung der Steuer Werte in fremder Währung nach den Kursen umzurechnen, die für den letzten Tag des Besteuerungszeitraums nach Absatz 1a Satz 1 von der Europäischen Zentralbank festgestellt worden sind; macht ein im übrigen Gemeinschaftsgebiet (§ </w:t>
      </w:r>
      <w:hyperlink r:id="rId25" w:history="1">
        <w:r>
          <w:rPr>
            <w:rStyle w:val="Hyperlink"/>
          </w:rPr>
          <w:t>13b</w:t>
        </w:r>
      </w:hyperlink>
      <w:r>
        <w:t xml:space="preserve"> Absatz 7 Satz 2) ansässiger Unternehmer von § </w:t>
      </w:r>
      <w:hyperlink r:id="rId26" w:history="1">
        <w:r>
          <w:rPr>
            <w:rStyle w:val="Hyperlink"/>
          </w:rPr>
          <w:t>18</w:t>
        </w:r>
      </w:hyperlink>
      <w:r>
        <w:t xml:space="preserve"> Absatz 4e Gebrauch, hat er zur Berechnung der Steuer Werte in fremder Währung nach den Kursen umzurechnen, die für den letzten Tag des Besteuerungszeitraums nach Absatz 1b Satz 1 von der Europäischen Zentralbank festgestellt worden sind. Sind für die in Satz 4 genannten Tage keine Umrechnungskurse festgestellt worden, hat der Unternehmer die Steuer nach den für den nächsten Tag nach Ablauf des Besteuerungszeitraums nach Absatz 1a Satz 1 oder Absatz 1b Satz 1 von der Europäischen Zentralbank festgestellten Umrechnungskursen umzurechnen.</w:t>
      </w:r>
    </w:p>
    <w:p w:rsidR="008A0B53" w:rsidRDefault="008A0B53" w:rsidP="008A0B53">
      <w:pPr>
        <w:pStyle w:val="StandardWeb"/>
      </w:pPr>
      <w:r>
        <w:t xml:space="preserve">(7) Für die Einfuhrumsatzsteuer gelten § </w:t>
      </w:r>
      <w:hyperlink r:id="rId27" w:history="1">
        <w:r>
          <w:rPr>
            <w:rStyle w:val="Hyperlink"/>
          </w:rPr>
          <w:t>11</w:t>
        </w:r>
      </w:hyperlink>
      <w:r>
        <w:t xml:space="preserve"> Abs. 5 und § </w:t>
      </w:r>
      <w:hyperlink r:id="rId28" w:history="1">
        <w:r>
          <w:rPr>
            <w:rStyle w:val="Hyperlink"/>
          </w:rPr>
          <w:t>21</w:t>
        </w:r>
      </w:hyperlink>
      <w:r>
        <w:t xml:space="preserve"> Abs. 2.</w:t>
      </w:r>
    </w:p>
    <w:p w:rsidR="008A0B53" w:rsidRPr="008A0B53" w:rsidRDefault="008A0B53" w:rsidP="008A0B53">
      <w:pPr>
        <w:pStyle w:val="hinweistext"/>
        <w:rPr>
          <w:lang w:val="en-US"/>
        </w:rPr>
      </w:pPr>
      <w:r>
        <w:t>Fassung aufgrund des Gesetzes zur Anpassung des nationalen Steuerrechts an den Beitritt Kroatiens zur EU und zur Änderung weiterer steuerlicher Vorschriften vom 25.07.2014 (</w:t>
      </w:r>
      <w:hyperlink r:id="rId29" w:history="1">
        <w:r>
          <w:rPr>
            <w:rStyle w:val="Hyperlink"/>
          </w:rPr>
          <w:t xml:space="preserve">BGBl. </w:t>
        </w:r>
        <w:r w:rsidRPr="008A0B53">
          <w:rPr>
            <w:rStyle w:val="Hyperlink"/>
            <w:lang w:val="en-US"/>
          </w:rPr>
          <w:t>I S. 1266</w:t>
        </w:r>
      </w:hyperlink>
      <w:r w:rsidRPr="008A0B53">
        <w:rPr>
          <w:lang w:val="en-US"/>
        </w:rPr>
        <w:t>) m.W.v. 01.01.2015.</w:t>
      </w:r>
    </w:p>
    <w:p w:rsidR="008A0B53" w:rsidRPr="008A0B53" w:rsidRDefault="008A0B53">
      <w:pPr>
        <w:rPr>
          <w:lang w:val="en-US"/>
        </w:rPr>
      </w:pPr>
      <w:r w:rsidRPr="008A0B53">
        <w:rPr>
          <w:lang w:val="en-US"/>
        </w:rPr>
        <w:t>__</w:t>
      </w:r>
    </w:p>
    <w:p w:rsidR="008A0B53" w:rsidRDefault="008A0B53" w:rsidP="008A0B53">
      <w:pPr>
        <w:pStyle w:val="berschrift3"/>
        <w:rPr>
          <w:lang w:val="en-US"/>
        </w:rPr>
      </w:pPr>
      <w:hyperlink r:id="rId30" w:history="1">
        <w:r w:rsidRPr="005D0523">
          <w:rPr>
            <w:rStyle w:val="Hyperlink"/>
            <w:lang w:val="en-US"/>
          </w:rPr>
          <w:t>https://dejure.org/gesetze/UStG/17.html</w:t>
        </w:r>
      </w:hyperlink>
    </w:p>
    <w:p w:rsidR="008A0B53" w:rsidRDefault="008A0B53" w:rsidP="008A0B53">
      <w:pPr>
        <w:pStyle w:val="berschrift3"/>
      </w:pPr>
      <w:r>
        <w:t>§ 17</w:t>
      </w:r>
      <w:r>
        <w:br/>
        <w:t>Änderung der Bemessungsgrundlage</w:t>
      </w:r>
    </w:p>
    <w:p w:rsidR="008A0B53" w:rsidRDefault="008A0B53" w:rsidP="008A0B53">
      <w:pPr>
        <w:pStyle w:val="StandardWeb"/>
      </w:pPr>
      <w:r>
        <w:t xml:space="preserve">(1) Hat sich die Bemessungsgrundlage für einen steuerpflichtigen Umsatz im Sinne des § </w:t>
      </w:r>
      <w:hyperlink r:id="rId31" w:history="1">
        <w:r>
          <w:rPr>
            <w:rStyle w:val="Hyperlink"/>
          </w:rPr>
          <w:t>1</w:t>
        </w:r>
      </w:hyperlink>
      <w:r>
        <w:t xml:space="preserve"> Abs. 1 Nr. 1 geändert, hat der Unternehmer, der diesen Umsatz ausgeführt hat, den dafür geschuldeten Steuerbetrag zu berichtigen. Ebenfalls ist der Vorsteuerabzug bei dem Unternehmer, an den dieser Umsatz ausgeführt wurde, zu berichtigen. Dies gilt nicht, soweit er durch die Änderung der Bemessungsgrundlage wirtschaftlich nicht begünstigt wird. Wird in diesen Fällen ein anderer Unternehmer durch die Änderung der Bemessungsgrundlage wirtschaftlich begünstigt, hat dieser Unternehmer seinen Vorsteuerabzug zu berichtigen. Die Sätze 1 bis 4 gelten in den Fällen des § </w:t>
      </w:r>
      <w:hyperlink r:id="rId32" w:history="1">
        <w:r>
          <w:rPr>
            <w:rStyle w:val="Hyperlink"/>
          </w:rPr>
          <w:t>1</w:t>
        </w:r>
      </w:hyperlink>
      <w:r>
        <w:t xml:space="preserve"> Abs. 1 Nr. 5 und des § </w:t>
      </w:r>
      <w:hyperlink r:id="rId33" w:history="1">
        <w:r>
          <w:rPr>
            <w:rStyle w:val="Hyperlink"/>
          </w:rPr>
          <w:t>13b</w:t>
        </w:r>
      </w:hyperlink>
      <w:r>
        <w:t xml:space="preserve"> sinngemäß. Die Berichtigung des Vorsteuerabzugs kann unterbleiben, soweit ein dritter Unternehmer den auf </w:t>
      </w:r>
      <w:r>
        <w:lastRenderedPageBreak/>
        <w:t>die Minderung des Entgelts entfallenden Steuerbetrag an das Finanzamt entrichtet; in diesem Fall ist der dritte Unternehmer Schuldner der Steuer. Die Berichtigungen nach den Sätzen 1 und 2 sind für den Besteuerungszeitraum vorzunehmen, in dem die Änderung der Bemessungsgrundlage eingetreten ist. Die Berichtigung nach Satz 4 ist für den Besteuerungszeitraum vorzunehmen, in dem der andere Unternehmer wirtschaftlich begünstigt wird.</w:t>
      </w:r>
    </w:p>
    <w:p w:rsidR="008A0B53" w:rsidRDefault="008A0B53" w:rsidP="008A0B53">
      <w:pPr>
        <w:pStyle w:val="StandardWeb"/>
      </w:pPr>
      <w:r>
        <w:t>(2) Absatz 1 gilt sinngemäß, wenn</w:t>
      </w:r>
    </w:p>
    <w:tbl>
      <w:tblPr>
        <w:tblW w:w="0" w:type="auto"/>
        <w:tblCellSpacing w:w="15" w:type="dxa"/>
        <w:tblCellMar>
          <w:top w:w="15" w:type="dxa"/>
          <w:left w:w="15" w:type="dxa"/>
          <w:bottom w:w="15" w:type="dxa"/>
          <w:right w:w="15" w:type="dxa"/>
        </w:tblCellMar>
        <w:tblLook w:val="04A0"/>
      </w:tblPr>
      <w:tblGrid>
        <w:gridCol w:w="225"/>
        <w:gridCol w:w="228"/>
        <w:gridCol w:w="8709"/>
      </w:tblGrid>
      <w:tr w:rsidR="008A0B53" w:rsidTr="008A0B53">
        <w:trPr>
          <w:tblCellSpacing w:w="15" w:type="dxa"/>
        </w:trPr>
        <w:tc>
          <w:tcPr>
            <w:tcW w:w="180" w:type="dxa"/>
            <w:vAlign w:val="center"/>
            <w:hideMark/>
          </w:tcPr>
          <w:p w:rsidR="008A0B53" w:rsidRDefault="008A0B53">
            <w:pPr>
              <w:rPr>
                <w:sz w:val="24"/>
                <w:szCs w:val="24"/>
              </w:rPr>
            </w:pPr>
          </w:p>
        </w:tc>
        <w:tc>
          <w:tcPr>
            <w:tcW w:w="0" w:type="auto"/>
            <w:vAlign w:val="center"/>
            <w:hideMark/>
          </w:tcPr>
          <w:p w:rsidR="008A0B53" w:rsidRDefault="008A0B53">
            <w:pPr>
              <w:rPr>
                <w:sz w:val="24"/>
                <w:szCs w:val="24"/>
              </w:rPr>
            </w:pPr>
            <w:r>
              <w:t xml:space="preserve">1. </w:t>
            </w:r>
          </w:p>
        </w:tc>
        <w:tc>
          <w:tcPr>
            <w:tcW w:w="0" w:type="auto"/>
            <w:vAlign w:val="center"/>
            <w:hideMark/>
          </w:tcPr>
          <w:p w:rsidR="008A0B53" w:rsidRDefault="008A0B53">
            <w:pPr>
              <w:rPr>
                <w:sz w:val="24"/>
                <w:szCs w:val="24"/>
              </w:rPr>
            </w:pPr>
            <w:r>
              <w:t>das vereinbarte Entgelt für eine steuerpflichtige Lieferung, sonstige Leistung oder einen steuerpflichtigen innergemeinschaftlichen Erwerb uneinbringlich geworden ist. Wird das Entgelt nachträglich vereinnahmt, sind Steuerbetrag und Vorsteuerabzug erneut zu berichtigen;</w:t>
            </w:r>
          </w:p>
        </w:tc>
      </w:tr>
      <w:tr w:rsidR="008A0B53" w:rsidTr="008A0B53">
        <w:trPr>
          <w:tblCellSpacing w:w="15" w:type="dxa"/>
        </w:trPr>
        <w:tc>
          <w:tcPr>
            <w:tcW w:w="180" w:type="dxa"/>
            <w:vAlign w:val="center"/>
            <w:hideMark/>
          </w:tcPr>
          <w:p w:rsidR="008A0B53" w:rsidRDefault="008A0B53">
            <w:pPr>
              <w:rPr>
                <w:sz w:val="24"/>
                <w:szCs w:val="24"/>
              </w:rPr>
            </w:pPr>
          </w:p>
        </w:tc>
        <w:tc>
          <w:tcPr>
            <w:tcW w:w="0" w:type="auto"/>
            <w:vAlign w:val="center"/>
            <w:hideMark/>
          </w:tcPr>
          <w:p w:rsidR="008A0B53" w:rsidRDefault="008A0B53">
            <w:pPr>
              <w:rPr>
                <w:sz w:val="24"/>
                <w:szCs w:val="24"/>
              </w:rPr>
            </w:pPr>
            <w:r>
              <w:t xml:space="preserve">2. </w:t>
            </w:r>
          </w:p>
        </w:tc>
        <w:tc>
          <w:tcPr>
            <w:tcW w:w="0" w:type="auto"/>
            <w:vAlign w:val="center"/>
            <w:hideMark/>
          </w:tcPr>
          <w:p w:rsidR="008A0B53" w:rsidRDefault="008A0B53">
            <w:pPr>
              <w:rPr>
                <w:sz w:val="24"/>
                <w:szCs w:val="24"/>
              </w:rPr>
            </w:pPr>
            <w:r>
              <w:t>für eine vereinbarte Lieferung oder sonstige Leistung ein Entgelt entrichtet, die Lieferung oder sonstige Leistung jedoch nicht ausgeführt worden ist;</w:t>
            </w:r>
          </w:p>
        </w:tc>
      </w:tr>
      <w:tr w:rsidR="008A0B53" w:rsidTr="008A0B53">
        <w:trPr>
          <w:tblCellSpacing w:w="15" w:type="dxa"/>
        </w:trPr>
        <w:tc>
          <w:tcPr>
            <w:tcW w:w="180" w:type="dxa"/>
            <w:vAlign w:val="center"/>
            <w:hideMark/>
          </w:tcPr>
          <w:p w:rsidR="008A0B53" w:rsidRDefault="008A0B53">
            <w:pPr>
              <w:rPr>
                <w:sz w:val="24"/>
                <w:szCs w:val="24"/>
              </w:rPr>
            </w:pPr>
          </w:p>
        </w:tc>
        <w:tc>
          <w:tcPr>
            <w:tcW w:w="0" w:type="auto"/>
            <w:vAlign w:val="center"/>
            <w:hideMark/>
          </w:tcPr>
          <w:p w:rsidR="008A0B53" w:rsidRDefault="008A0B53">
            <w:pPr>
              <w:rPr>
                <w:sz w:val="24"/>
                <w:szCs w:val="24"/>
              </w:rPr>
            </w:pPr>
            <w:r>
              <w:t xml:space="preserve">3. </w:t>
            </w:r>
          </w:p>
        </w:tc>
        <w:tc>
          <w:tcPr>
            <w:tcW w:w="0" w:type="auto"/>
            <w:vAlign w:val="center"/>
            <w:hideMark/>
          </w:tcPr>
          <w:p w:rsidR="008A0B53" w:rsidRDefault="008A0B53">
            <w:pPr>
              <w:rPr>
                <w:sz w:val="24"/>
                <w:szCs w:val="24"/>
              </w:rPr>
            </w:pPr>
            <w:r>
              <w:t>eine steuerpflichtige Lieferung, sonstige Leistung oder ein steuerpflichtiger innergemeinschaftlicher Erwerb rückgängig gemacht worden ist;</w:t>
            </w:r>
          </w:p>
        </w:tc>
      </w:tr>
      <w:tr w:rsidR="008A0B53" w:rsidTr="008A0B53">
        <w:trPr>
          <w:tblCellSpacing w:w="15" w:type="dxa"/>
        </w:trPr>
        <w:tc>
          <w:tcPr>
            <w:tcW w:w="180" w:type="dxa"/>
            <w:vAlign w:val="center"/>
            <w:hideMark/>
          </w:tcPr>
          <w:p w:rsidR="008A0B53" w:rsidRDefault="008A0B53">
            <w:pPr>
              <w:rPr>
                <w:sz w:val="24"/>
                <w:szCs w:val="24"/>
              </w:rPr>
            </w:pPr>
          </w:p>
        </w:tc>
        <w:tc>
          <w:tcPr>
            <w:tcW w:w="0" w:type="auto"/>
            <w:vAlign w:val="center"/>
            <w:hideMark/>
          </w:tcPr>
          <w:p w:rsidR="008A0B53" w:rsidRDefault="008A0B53">
            <w:pPr>
              <w:rPr>
                <w:sz w:val="24"/>
                <w:szCs w:val="24"/>
              </w:rPr>
            </w:pPr>
            <w:r>
              <w:t xml:space="preserve">4. </w:t>
            </w:r>
          </w:p>
        </w:tc>
        <w:tc>
          <w:tcPr>
            <w:tcW w:w="0" w:type="auto"/>
            <w:vAlign w:val="center"/>
            <w:hideMark/>
          </w:tcPr>
          <w:p w:rsidR="008A0B53" w:rsidRDefault="008A0B53">
            <w:pPr>
              <w:rPr>
                <w:sz w:val="24"/>
                <w:szCs w:val="24"/>
              </w:rPr>
            </w:pPr>
            <w:r>
              <w:t xml:space="preserve">der Erwerber den Nachweis im Sinne des § </w:t>
            </w:r>
            <w:hyperlink r:id="rId34" w:history="1">
              <w:r>
                <w:rPr>
                  <w:rStyle w:val="Hyperlink"/>
                </w:rPr>
                <w:t>3d</w:t>
              </w:r>
            </w:hyperlink>
            <w:r>
              <w:t xml:space="preserve"> Satz 2 führt;</w:t>
            </w:r>
          </w:p>
        </w:tc>
      </w:tr>
      <w:tr w:rsidR="008A0B53" w:rsidTr="008A0B53">
        <w:trPr>
          <w:tblCellSpacing w:w="15" w:type="dxa"/>
        </w:trPr>
        <w:tc>
          <w:tcPr>
            <w:tcW w:w="180" w:type="dxa"/>
            <w:vAlign w:val="center"/>
            <w:hideMark/>
          </w:tcPr>
          <w:p w:rsidR="008A0B53" w:rsidRDefault="008A0B53">
            <w:pPr>
              <w:rPr>
                <w:sz w:val="24"/>
                <w:szCs w:val="24"/>
              </w:rPr>
            </w:pPr>
          </w:p>
        </w:tc>
        <w:tc>
          <w:tcPr>
            <w:tcW w:w="0" w:type="auto"/>
            <w:vAlign w:val="center"/>
            <w:hideMark/>
          </w:tcPr>
          <w:p w:rsidR="008A0B53" w:rsidRDefault="008A0B53">
            <w:pPr>
              <w:rPr>
                <w:sz w:val="24"/>
                <w:szCs w:val="24"/>
              </w:rPr>
            </w:pPr>
            <w:r>
              <w:t xml:space="preserve">5. </w:t>
            </w:r>
          </w:p>
        </w:tc>
        <w:tc>
          <w:tcPr>
            <w:tcW w:w="0" w:type="auto"/>
            <w:vAlign w:val="center"/>
            <w:hideMark/>
          </w:tcPr>
          <w:p w:rsidR="008A0B53" w:rsidRDefault="008A0B53">
            <w:pPr>
              <w:rPr>
                <w:sz w:val="24"/>
                <w:szCs w:val="24"/>
              </w:rPr>
            </w:pPr>
            <w:r>
              <w:t xml:space="preserve">Aufwendungen im Sinne des § </w:t>
            </w:r>
            <w:hyperlink r:id="rId35" w:history="1">
              <w:r>
                <w:rPr>
                  <w:rStyle w:val="Hyperlink"/>
                </w:rPr>
                <w:t>15</w:t>
              </w:r>
            </w:hyperlink>
            <w:r>
              <w:t xml:space="preserve"> Abs. 1a getätigt werden.</w:t>
            </w:r>
          </w:p>
        </w:tc>
      </w:tr>
    </w:tbl>
    <w:p w:rsidR="008A0B53" w:rsidRDefault="008A0B53" w:rsidP="008A0B53">
      <w:pPr>
        <w:pStyle w:val="StandardWeb"/>
      </w:pPr>
      <w:r>
        <w:t>(3) Ist Einfuhrumsatzsteuer, die als Vorsteuer abgezogen worden ist, herabgesetzt, erlassen oder erstattet worden, so hat der Unternehmer den Vorsteuerabzug entsprechend zu berichtigen. Absatz 1 Satz 7 gilt sinngemäß.</w:t>
      </w:r>
    </w:p>
    <w:p w:rsidR="008A0B53" w:rsidRDefault="008A0B53" w:rsidP="008A0B53">
      <w:pPr>
        <w:pStyle w:val="StandardWeb"/>
      </w:pPr>
      <w:r>
        <w:t>(4) Werden die Entgelte für unterschiedlich besteuerte Lieferungen oder sonstige Leistungen eines bestimmten Zeitabschnitts gemeinsam geändert (z.B. Jahresboni, Jahresrückvergütungen), so hat der Unternehmer dem Leistungsempfänger einen Beleg zu erteilen, aus dem zu ersehen ist, wie sich die Änderung der Entgelte auf die unterschiedlich besteuerten Umsätze verteilt.</w:t>
      </w:r>
    </w:p>
    <w:p w:rsidR="008A0B53" w:rsidRPr="008A0B53" w:rsidRDefault="008A0B53" w:rsidP="008A0B53">
      <w:pPr>
        <w:pStyle w:val="hinweistext"/>
        <w:rPr>
          <w:lang w:val="en-US"/>
        </w:rPr>
      </w:pPr>
      <w:r>
        <w:t>Fassung aufgrund des Jahressteuergesetzes 2009 vom 19.12.2008 (</w:t>
      </w:r>
      <w:hyperlink r:id="rId36" w:history="1">
        <w:r>
          <w:rPr>
            <w:rStyle w:val="Hyperlink"/>
          </w:rPr>
          <w:t xml:space="preserve">BGBl. </w:t>
        </w:r>
        <w:r w:rsidRPr="008A0B53">
          <w:rPr>
            <w:rStyle w:val="Hyperlink"/>
            <w:lang w:val="en-US"/>
          </w:rPr>
          <w:t>I S. 2794</w:t>
        </w:r>
      </w:hyperlink>
      <w:r w:rsidRPr="008A0B53">
        <w:rPr>
          <w:lang w:val="en-US"/>
        </w:rPr>
        <w:t>) m.W.v. 25.12.2008.</w:t>
      </w:r>
    </w:p>
    <w:p w:rsidR="008A0B53" w:rsidRPr="008A0B53" w:rsidRDefault="008A0B53">
      <w:pPr>
        <w:rPr>
          <w:lang w:val="en-US"/>
        </w:rPr>
      </w:pPr>
      <w:r w:rsidRPr="008A0B53">
        <w:rPr>
          <w:lang w:val="en-US"/>
        </w:rPr>
        <w:t>__</w:t>
      </w:r>
    </w:p>
    <w:p w:rsidR="008A0B53" w:rsidRDefault="008A0B53">
      <w:pPr>
        <w:rPr>
          <w:lang w:val="en-US"/>
        </w:rPr>
      </w:pPr>
      <w:hyperlink r:id="rId37" w:history="1">
        <w:r w:rsidRPr="005D0523">
          <w:rPr>
            <w:rStyle w:val="Hyperlink"/>
            <w:lang w:val="en-US"/>
          </w:rPr>
          <w:t>https://dejure.org/gesetze/UStG/18.html</w:t>
        </w:r>
      </w:hyperlink>
    </w:p>
    <w:p w:rsidR="00B25102" w:rsidRDefault="00B25102" w:rsidP="00B25102">
      <w:pPr>
        <w:pStyle w:val="berschrift3"/>
      </w:pPr>
      <w:r>
        <w:t>§ 18</w:t>
      </w:r>
      <w:r>
        <w:br/>
        <w:t>Besteuerungsverfahren</w:t>
      </w:r>
    </w:p>
    <w:p w:rsidR="00B25102" w:rsidRDefault="00B25102" w:rsidP="00B25102">
      <w:pPr>
        <w:pStyle w:val="StandardWeb"/>
      </w:pPr>
      <w:r>
        <w:t xml:space="preserve">(1) Der Unternehmer hat bis zum 10. Tag nach Ablauf jedes Voranmeldungszeitraums eine Voranmeldung nach amtlich vorgeschriebenem Datensatz durch Datenfernübertragung nach Maßgabe der Steuerdaten-Übermittlungsverordnung zu übermitteln, in der er die Steuer für den Voranmeldungszeitraum (Vorauszahlung) selbst zu berechnen hat. Auf Antrag kann das Finanzamt zur Vermeidung von unbilligen Härten auf eine elektronische Übermittlung verzichten; in diesem Fall hat der Unternehmer eine Voranmeldung nach amtlich </w:t>
      </w:r>
      <w:r>
        <w:lastRenderedPageBreak/>
        <w:t xml:space="preserve">vorgeschriebenem Vordruck abzugeben. § </w:t>
      </w:r>
      <w:hyperlink r:id="rId38" w:history="1">
        <w:r>
          <w:rPr>
            <w:rStyle w:val="Hyperlink"/>
          </w:rPr>
          <w:t>16</w:t>
        </w:r>
      </w:hyperlink>
      <w:r>
        <w:t xml:space="preserve"> Abs. 1 und 2 und § </w:t>
      </w:r>
      <w:hyperlink r:id="rId39" w:history="1">
        <w:r>
          <w:rPr>
            <w:rStyle w:val="Hyperlink"/>
          </w:rPr>
          <w:t>17</w:t>
        </w:r>
      </w:hyperlink>
      <w:r>
        <w:t xml:space="preserve"> sind entsprechend anzuwenden. Die Vorauszahlung ist am 10. Tag nach Ablauf des Voranmeldungszeitraums fällig.</w:t>
      </w:r>
    </w:p>
    <w:p w:rsidR="00B25102" w:rsidRDefault="00B25102" w:rsidP="00B25102">
      <w:pPr>
        <w:pStyle w:val="StandardWeb"/>
      </w:pPr>
      <w:r>
        <w:t>(2) Voranmeldungszeitraum ist das Kalendervierteljahr. Beträgt die Steuer für das vorangegangene Kalenderjahr mehr als 7 500 Euro, ist der Kalendermonat Voranmeldungszeitraum. Beträgt die Steuer für das vorangegangene Kalenderjahr nicht mehr als 1 000 Euro, kann das Finanzamt den Unternehmer von der Verpflichtung zur Abgabe der Voranmeldungen und Entrichtung der Vorauszahlungen befreien. Nimmt der Unternehmer seine berufliche oder gewerbliche Tätigkeit auf, ist im laufenden und folgenden Kalenderjahr Voranmeldungszeitraum der Kalendermonat. Satz 4 gilt entsprechend in folgenden Fällen:</w:t>
      </w:r>
    </w:p>
    <w:tbl>
      <w:tblPr>
        <w:tblW w:w="0" w:type="auto"/>
        <w:tblCellSpacing w:w="15" w:type="dxa"/>
        <w:tblCellMar>
          <w:top w:w="15" w:type="dxa"/>
          <w:left w:w="15" w:type="dxa"/>
          <w:bottom w:w="15" w:type="dxa"/>
          <w:right w:w="15" w:type="dxa"/>
        </w:tblCellMar>
        <w:tblLook w:val="04A0"/>
      </w:tblPr>
      <w:tblGrid>
        <w:gridCol w:w="225"/>
        <w:gridCol w:w="228"/>
        <w:gridCol w:w="8709"/>
      </w:tblGrid>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r>
              <w:t xml:space="preserve">1. </w:t>
            </w:r>
          </w:p>
        </w:tc>
        <w:tc>
          <w:tcPr>
            <w:tcW w:w="0" w:type="auto"/>
            <w:vAlign w:val="center"/>
            <w:hideMark/>
          </w:tcPr>
          <w:p w:rsidR="00B25102" w:rsidRDefault="00B25102">
            <w:pPr>
              <w:rPr>
                <w:sz w:val="24"/>
                <w:szCs w:val="24"/>
              </w:rPr>
            </w:pPr>
            <w:r>
              <w:t>bei im Handelsregister eingetragenen, noch nicht gewerblich oder beruflich tätig gewesenen juristischen Personen oder Personengesellschaften, die objektiv belegbar die Absicht haben, eine gewerbliche oder berufliche Tätigkeit selbständig auszuüben (Vorratsgesellschaften), und zwar ab dem Zeitpunkt des Beginns der tatsächlichen Ausübung dieser Tätigkeit, und</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r>
              <w:t xml:space="preserve">2. </w:t>
            </w:r>
          </w:p>
        </w:tc>
        <w:tc>
          <w:tcPr>
            <w:tcW w:w="0" w:type="auto"/>
            <w:vAlign w:val="center"/>
            <w:hideMark/>
          </w:tcPr>
          <w:p w:rsidR="00B25102" w:rsidRDefault="00B25102">
            <w:pPr>
              <w:rPr>
                <w:sz w:val="24"/>
                <w:szCs w:val="24"/>
              </w:rPr>
            </w:pPr>
            <w:r>
              <w:t>bei der Übernahme von juristischen Personen oder Personengesellschaften, die bereits gewerblich oder beruflich tätig gewesen sind und zum Zeitpunkt der Übernahme ruhen oder nur geringfügig gewerblich oder beruflich tätig sind (Firmenmantel), und zwar ab dem Zeitpunkt der Übernahme.</w:t>
            </w:r>
          </w:p>
        </w:tc>
      </w:tr>
    </w:tbl>
    <w:p w:rsidR="00B25102" w:rsidRDefault="00B25102" w:rsidP="00B25102">
      <w:pPr>
        <w:pStyle w:val="StandardWeb"/>
      </w:pPr>
      <w:r>
        <w:t>(2a) Der Unternehmer kann an Stelle des Kalendervierteljahres den Kalendermonat als Voranmeldungszeitraum wählen, wenn sich für das vorangegangene Kalenderjahr ein Überschuss zu seinen Gunsten von mehr als 7 500 Euro ergibt. In diesem Fall hat der Unternehmer bis zum 10. Februar des laufenden Kalenderjahres eine Voranmeldung für den ersten Kalendermonat abzugeben. Die Ausübung des Wahlrechts bindet den Unternehmer für dieses Kalenderjahr.</w:t>
      </w:r>
    </w:p>
    <w:p w:rsidR="00B25102" w:rsidRDefault="00B25102" w:rsidP="00B25102">
      <w:pPr>
        <w:pStyle w:val="StandardWeb"/>
      </w:pPr>
      <w:r>
        <w:t xml:space="preserve">(3) Der Unternehmer hat für das Kalenderjahr oder für den kürzeren Besteuerungszeitraum eine Steuererklärung nach amtlich vorgeschriebenem Datensatz durch Datenfernübertragung nach Maßgabe der Steuerdaten-Übermittlungsverordnung zu übermitteln, in der er die zu entrichtende Steuer oder den Überschuss, der sich zu seinen Gunsten ergibt, nach § </w:t>
      </w:r>
      <w:hyperlink r:id="rId40" w:history="1">
        <w:r>
          <w:rPr>
            <w:rStyle w:val="Hyperlink"/>
          </w:rPr>
          <w:t>16</w:t>
        </w:r>
      </w:hyperlink>
      <w:r>
        <w:t xml:space="preserve"> Absatz 1 bis 4 und § </w:t>
      </w:r>
      <w:hyperlink r:id="rId41" w:history="1">
        <w:r>
          <w:rPr>
            <w:rStyle w:val="Hyperlink"/>
          </w:rPr>
          <w:t>17</w:t>
        </w:r>
      </w:hyperlink>
      <w:r>
        <w:t xml:space="preserve"> selbst zu berechnen hat (Steueranmeldung). In den Fällen des § </w:t>
      </w:r>
      <w:hyperlink r:id="rId42" w:history="1">
        <w:r>
          <w:rPr>
            <w:rStyle w:val="Hyperlink"/>
          </w:rPr>
          <w:t>16</w:t>
        </w:r>
      </w:hyperlink>
      <w:r>
        <w:t xml:space="preserve"> Absatz 3 und 4 ist die Steueranmeldung binnen einem Monat nach Ablauf des kürzeren Besteuerungszeitraums zu übermitteln. Auf Antrag kann das Finanzamt zur Vermeidung von unbilligen Härten auf eine elektronische Übermittlung verzichten; in diesem Fall hat der Unternehmer eine Steueranmeldung nach amtlich vorgeschriebenem Vordruck abzugeben und eigenhändig zu unterschreiben.</w:t>
      </w:r>
    </w:p>
    <w:p w:rsidR="00B25102" w:rsidRDefault="00B25102" w:rsidP="00B25102">
      <w:pPr>
        <w:pStyle w:val="StandardWeb"/>
      </w:pPr>
      <w:r>
        <w:t>(4) Berechnet der Unternehmer die zu entrichtende Steuer oder den Überschuss in der Steueranmeldung für das Kalenderjahr abweichend von der Summe der Vorauszahlungen, so ist der Unterschiedsbetrag zugunsten des Finanzamts einen Monat nach dem Eingang der Steueranmeldung fällig. Setzt das Finanzamt die zu entrichtende Steuer oder den Überschuss abweichend von der Steueranmeldung für das Kalenderjahr fest, so ist der Unterschiedsbetrag zugunsten des Finanzamts einen Monat nach der Bekanntgabe des Steuerbescheids fällig. Die Fälligkeit rückständiger Vorauszahlungen (Absatz 1) bleibt von den Sätzen 1 und 2 unberührt.</w:t>
      </w:r>
    </w:p>
    <w:p w:rsidR="00B25102" w:rsidRDefault="00B25102" w:rsidP="00B25102">
      <w:pPr>
        <w:pStyle w:val="StandardWeb"/>
      </w:pPr>
      <w:r>
        <w:lastRenderedPageBreak/>
        <w:t xml:space="preserve">(4a) Voranmeldungen (Absätze 1 und 2) und eine Steuererklärung (Absätze 3 und 4) haben auch die Unternehmer und juristischen Personen abzugeben, die ausschließlich Steuer für Umsätze nach § </w:t>
      </w:r>
      <w:hyperlink r:id="rId43" w:history="1">
        <w:r>
          <w:rPr>
            <w:rStyle w:val="Hyperlink"/>
          </w:rPr>
          <w:t>1</w:t>
        </w:r>
      </w:hyperlink>
      <w:r>
        <w:t xml:space="preserve"> Abs. 1 Nr. 5, § </w:t>
      </w:r>
      <w:hyperlink r:id="rId44" w:history="1">
        <w:r>
          <w:rPr>
            <w:rStyle w:val="Hyperlink"/>
          </w:rPr>
          <w:t>13b</w:t>
        </w:r>
      </w:hyperlink>
      <w:r>
        <w:t xml:space="preserve"> Absatz 5 oder § </w:t>
      </w:r>
      <w:hyperlink r:id="rId45" w:history="1">
        <w:r>
          <w:rPr>
            <w:rStyle w:val="Hyperlink"/>
          </w:rPr>
          <w:t>25b</w:t>
        </w:r>
      </w:hyperlink>
      <w:r>
        <w:t xml:space="preserve"> Abs. 2 zu entrichten haben, sowie Fahrzeuglieferer (§ </w:t>
      </w:r>
      <w:hyperlink r:id="rId46" w:history="1">
        <w:r>
          <w:rPr>
            <w:rStyle w:val="Hyperlink"/>
          </w:rPr>
          <w:t>2a</w:t>
        </w:r>
      </w:hyperlink>
      <w:r>
        <w:t>). Voranmeldungen sind nur für die Voranmeldungszeiträume abzugeben, in denen die Steuer für diese Umsätze zu erklären ist. Die Anwendung des Absatzes 2a ist ausgeschlossen.</w:t>
      </w:r>
    </w:p>
    <w:p w:rsidR="00B25102" w:rsidRDefault="00B25102" w:rsidP="00B25102">
      <w:pPr>
        <w:pStyle w:val="StandardWeb"/>
      </w:pPr>
      <w:r>
        <w:t xml:space="preserve">(4b) Für Personen, die keine Unternehmer sind und Steuerbeträge nach § </w:t>
      </w:r>
      <w:hyperlink r:id="rId47" w:history="1">
        <w:r>
          <w:rPr>
            <w:rStyle w:val="Hyperlink"/>
          </w:rPr>
          <w:t>6a</w:t>
        </w:r>
      </w:hyperlink>
      <w:r>
        <w:t xml:space="preserve"> Abs. 4 Satz 2 oder nach § </w:t>
      </w:r>
      <w:hyperlink r:id="rId48" w:history="1">
        <w:r>
          <w:rPr>
            <w:rStyle w:val="Hyperlink"/>
          </w:rPr>
          <w:t>14c</w:t>
        </w:r>
      </w:hyperlink>
      <w:r>
        <w:t xml:space="preserve"> Abs. 2 schulden, gilt Absatz 4a entsprechend.</w:t>
      </w:r>
    </w:p>
    <w:p w:rsidR="00B25102" w:rsidRDefault="00B25102" w:rsidP="00B25102">
      <w:pPr>
        <w:pStyle w:val="StandardWeb"/>
      </w:pPr>
      <w:r>
        <w:t xml:space="preserve">(4c) Ein nicht im Gemeinschaftsgebiet ansässiger Unternehmer, der als Steuerschuldner ausschließlich Umsätze nach § </w:t>
      </w:r>
      <w:hyperlink r:id="rId49" w:history="1">
        <w:r>
          <w:rPr>
            <w:rStyle w:val="Hyperlink"/>
          </w:rPr>
          <w:t>3a</w:t>
        </w:r>
      </w:hyperlink>
      <w:r>
        <w:t xml:space="preserve"> Abs. 5 im Gemeinschaftsgebiet erbringt und in keinem anderen Mitgliedstaat für Zwecke der Umsatzsteuer erfasst ist, kann abweichend von den Absätzen 1 bis 4 für jeden Besteuerungszeitraum (§ </w:t>
      </w:r>
      <w:hyperlink r:id="rId50" w:history="1">
        <w:r>
          <w:rPr>
            <w:rStyle w:val="Hyperlink"/>
          </w:rPr>
          <w:t>16</w:t>
        </w:r>
      </w:hyperlink>
      <w:r>
        <w:t xml:space="preserve"> Abs. 1a Satz 1) eine Steuererklärung auf amtlich vorgeschriebenem Vordruck bis zum 20. Tag nach Ablauf jedes Besteuerungszeitraums abgeben, in der er die Steuer selbst zu berechnen hat; die Steuererklärung ist dem Bundeszentralamt für Steuern elektronisch zu übermitteln. Die Steuer ist am 20. Tag nach Ablauf des Besteuerungszeitraums fällig. Die Ausübung des Wahlrechts hat der Unternehmer auf dem amtlich vorgeschriebenen, elektronisch zu übermittelnden Dokument dem Bundeszentralamt für Steuern anzuzeigen, bevor er Umsätze nach § </w:t>
      </w:r>
      <w:hyperlink r:id="rId51" w:history="1">
        <w:r>
          <w:rPr>
            <w:rStyle w:val="Hyperlink"/>
          </w:rPr>
          <w:t>3a</w:t>
        </w:r>
      </w:hyperlink>
      <w:r>
        <w:t xml:space="preserve"> Abs. 5 im Gemeinschaftsgebiet erbringt. Das Wahlrecht kann nur mit Wirkung vom Beginn eines Besteuerungszeitraums an widerrufen werden. Der Widerruf ist vor Beginn des Besteuerungszeitraums, für den er gelten soll, gegenüber dem Bundeszentralamt für Steuern auf elektronischem Weg zu erklären. Kommt der Unternehmer seinen Verpflichtungen nach den Sätzen 1 bis 3 oder § 22 Abs. 1 wiederholt nicht oder nicht rechtzeitig nach, schließt ihn das Bundeszentralamt für Steuern von dem Besteuerungsverfahren nach Satz 1 aus. Der Ausschluss gilt ab dem Besteuerungszeitraum, der nach dem Zeitpunkt der Bekanntgabe des Ausschlusses gegenüber dem Unternehmer beginnt.</w:t>
      </w:r>
    </w:p>
    <w:p w:rsidR="00B25102" w:rsidRDefault="00B25102" w:rsidP="00B25102">
      <w:pPr>
        <w:pStyle w:val="StandardWeb"/>
      </w:pPr>
      <w:r>
        <w:t xml:space="preserve">(4d) Die Absätze 1 bis 4 gelten nicht für nicht im Gemeinschaftsgebiet ansässige Unternehmer, die im Inland im Besteuerungszeitraum (§ </w:t>
      </w:r>
      <w:hyperlink r:id="rId52" w:history="1">
        <w:r>
          <w:rPr>
            <w:rStyle w:val="Hyperlink"/>
          </w:rPr>
          <w:t>16</w:t>
        </w:r>
      </w:hyperlink>
      <w:r>
        <w:t xml:space="preserve"> Abs. 1 Satz 2) als Steuerschuldner ausschließlich Umsätze nach § </w:t>
      </w:r>
      <w:hyperlink r:id="rId53" w:history="1">
        <w:r>
          <w:rPr>
            <w:rStyle w:val="Hyperlink"/>
          </w:rPr>
          <w:t>3a</w:t>
        </w:r>
      </w:hyperlink>
      <w:r>
        <w:t xml:space="preserve"> Abs. 5 erbringen und diese Umsätze in einem anderen Mitgliedstaat erklären sowie die darauf entfallende Steuer entrichten.</w:t>
      </w:r>
    </w:p>
    <w:p w:rsidR="00B25102" w:rsidRDefault="00B25102" w:rsidP="00B25102">
      <w:pPr>
        <w:pStyle w:val="StandardWeb"/>
      </w:pPr>
      <w:r>
        <w:t xml:space="preserve">(4e) Ein im übrigen Gemeinschaftsgebiet ansässiger Unternehmer (§ </w:t>
      </w:r>
      <w:hyperlink r:id="rId54" w:history="1">
        <w:r>
          <w:rPr>
            <w:rStyle w:val="Hyperlink"/>
          </w:rPr>
          <w:t>13b</w:t>
        </w:r>
      </w:hyperlink>
      <w:r>
        <w:t xml:space="preserve"> Absatz 7 Satz 2), der als Steuerschuldner Umsätze nach § </w:t>
      </w:r>
      <w:hyperlink r:id="rId55" w:history="1">
        <w:r>
          <w:rPr>
            <w:rStyle w:val="Hyperlink"/>
          </w:rPr>
          <w:t>3a</w:t>
        </w:r>
      </w:hyperlink>
      <w:r>
        <w:t xml:space="preserve"> Absatz 5 im Inland erbringt, kann abweichend von den Absätzen 1 bis 4 für jeden Besteuerungszeitraum (§ </w:t>
      </w:r>
      <w:hyperlink r:id="rId56" w:history="1">
        <w:r>
          <w:rPr>
            <w:rStyle w:val="Hyperlink"/>
          </w:rPr>
          <w:t>16</w:t>
        </w:r>
      </w:hyperlink>
      <w:r>
        <w:t xml:space="preserve"> Absatz 1b Satz 1) eine Steuererklärung nach amtlich vorgeschriebenem Datensatz durch Datenfernübertragung bis zum 20. Tag nach Ablauf jedes Besteuerungszeitraums übermitteln, in der er die Steuer für die vorgenannten Umsätze selbst zu berechnen hat; dies gilt nur, wenn der Unternehmer im Inland, auf der Insel Helgoland und in einem der in § </w:t>
      </w:r>
      <w:hyperlink r:id="rId57" w:history="1">
        <w:r>
          <w:rPr>
            <w:rStyle w:val="Hyperlink"/>
          </w:rPr>
          <w:t>1</w:t>
        </w:r>
      </w:hyperlink>
      <w:r>
        <w:t xml:space="preserve"> Absatz 3 bezeichneten Gebiete weder seinen Sitz, seine Geschäftsleitung noch eine Betriebsstätte hat. Die Steuererklärung ist der zuständigen Steuerbehörde des Mitgliedstaates der Europäischen Union zu übermitteln, in dem der Unternehmer ansässig ist; diese Steuererklärung ist ab dem Zeitpunkt eine Steueranmeldung im Sinne des § </w:t>
      </w:r>
      <w:hyperlink r:id="rId58" w:history="1">
        <w:r>
          <w:rPr>
            <w:rStyle w:val="Hyperlink"/>
          </w:rPr>
          <w:t>150</w:t>
        </w:r>
      </w:hyperlink>
      <w:r>
        <w:t xml:space="preserve"> Absatz 1 Satz 3 und des § </w:t>
      </w:r>
      <w:hyperlink r:id="rId59" w:history="1">
        <w:r>
          <w:rPr>
            <w:rStyle w:val="Hyperlink"/>
          </w:rPr>
          <w:t>168</w:t>
        </w:r>
      </w:hyperlink>
      <w:r>
        <w:t xml:space="preserve"> der Abgabenordnung, zu dem die in ihr enthaltenen Daten von der zuständigen Steuerbehörde des Mitgliedstaates der Europäischen Union, an die der Unternehmer die Steuererklärung übermittelt hat, dem Bundeszentralamt für Steuern übermittelt und dort in bearbeitbarer Weise aufgezeichnet wurden. Satz 2 gilt für die Berichtigung einer Steuererklärung entsprechend. Die Steuer ist am 20. Tag nach Ablauf des Besteuerungszeitraums fällig. Die Ausübung des Wahlrechts nach Satz 1 hat der Unternehmer in dem amtlich vorgeschriebenen, elektronisch zu übermittelnden </w:t>
      </w:r>
      <w:r>
        <w:lastRenderedPageBreak/>
        <w:t xml:space="preserve">Dokument der Steuerbehörde des Mitgliedstaates der Europäischen Union, in dem der Unternehmer ansässig ist, vor Beginn des Besteuerungszeitraums anzuzeigen, ab dessen Beginn er von dem Wahlrecht Gebrauch macht. Das Wahlrecht kann nur mit Wirkung vom Beginn eines Besteuerungszeitraums an widerrufen werden. Der Widerruf ist vor Beginn des Besteuerungszeitraums, für den er gelten soll, gegenüber der Steuerbehörde des Mitgliedstaates der Europäischen Union, in dem der Unternehmer ansässig ist, auf elektronischem Weg zu erklären. Kommt der Unternehmer seinen Verpflichtungen nach den Sätzen 1 bis 5 oder § 22 Absatz 1 wiederholt nicht oder nicht rechtzeitig nach, schließt ihn die zuständige Steuerbehörde des Mitgliedstaates der Europäischen Union, in dem der Unternehmer ansässig ist, von dem Besteuerungsverfahren nach Satz 1 aus. Der Ausschluss gilt ab dem Besteuerungszeitraum, der nach dem Zeitpunkt der Bekanntgabe des Ausschlusses gegenüber dem Unternehmer beginnt. Die Steuererklärung nach Satz 1 gilt als fristgemäß übermittelt, wenn sie bis zum 20. Tag nach Ablauf des Besteuerungszeitraums (§ </w:t>
      </w:r>
      <w:hyperlink r:id="rId60" w:history="1">
        <w:r>
          <w:rPr>
            <w:rStyle w:val="Hyperlink"/>
          </w:rPr>
          <w:t>16</w:t>
        </w:r>
      </w:hyperlink>
      <w:r>
        <w:t xml:space="preserve"> Absatz 1b Satz 1) der zuständigen Steuerbehörde des Mitgliedstaates der Europäischen Union übermittelt worden ist, in dem der Unternehmer ansässig ist, und dort in bearbeitbarer Weise aufgezeichnet wurde. Die Entrichtung der Steuer erfolgt entsprechend Satz 4 fristgemäß, wenn die Zahlung bis zum 20. Tag nach Ablauf des Besteuerungszeitraums (§ </w:t>
      </w:r>
      <w:hyperlink r:id="rId61" w:history="1">
        <w:r>
          <w:rPr>
            <w:rStyle w:val="Hyperlink"/>
          </w:rPr>
          <w:t>16</w:t>
        </w:r>
      </w:hyperlink>
      <w:r>
        <w:t xml:space="preserve"> Absatz 1b Satz 1) bei der zuständigen Steuerbehörde des Mitgliedstaates der Europäischen Union, in dem der Unternehmer ansässig ist, eingegangen ist. § </w:t>
      </w:r>
      <w:hyperlink r:id="rId62" w:history="1">
        <w:r>
          <w:rPr>
            <w:rStyle w:val="Hyperlink"/>
          </w:rPr>
          <w:t>240</w:t>
        </w:r>
      </w:hyperlink>
      <w:r>
        <w:t xml:space="preserve"> der Abgabenordnung ist mit der Maßgabe anzuwenden, dass eine Säumnis frühestens mit Ablauf des 10. Tages nach Ablauf des auf den Besteuerungszeitraum (§ </w:t>
      </w:r>
      <w:hyperlink r:id="rId63" w:history="1">
        <w:r>
          <w:rPr>
            <w:rStyle w:val="Hyperlink"/>
          </w:rPr>
          <w:t>16</w:t>
        </w:r>
      </w:hyperlink>
      <w:r>
        <w:t xml:space="preserve"> Absatz 1b Satz 1) folgenden übernächsten Monats eintritt.</w:t>
      </w:r>
    </w:p>
    <w:p w:rsidR="00B25102" w:rsidRDefault="00B25102" w:rsidP="00B25102">
      <w:pPr>
        <w:pStyle w:val="StandardWeb"/>
      </w:pPr>
      <w:r>
        <w:t xml:space="preserve">(5) In den Fällen der Beförderungseinzelbesteuerung (§ </w:t>
      </w:r>
      <w:hyperlink r:id="rId64" w:history="1">
        <w:r>
          <w:rPr>
            <w:rStyle w:val="Hyperlink"/>
          </w:rPr>
          <w:t>16</w:t>
        </w:r>
      </w:hyperlink>
      <w:r>
        <w:t xml:space="preserve"> Abs. 5) ist abweichend von den Absätzen 1 bis 4 wie folgt zu verfahren:</w:t>
      </w:r>
    </w:p>
    <w:tbl>
      <w:tblPr>
        <w:tblW w:w="0" w:type="auto"/>
        <w:tblCellSpacing w:w="15" w:type="dxa"/>
        <w:tblCellMar>
          <w:top w:w="15" w:type="dxa"/>
          <w:left w:w="15" w:type="dxa"/>
          <w:bottom w:w="15" w:type="dxa"/>
          <w:right w:w="15" w:type="dxa"/>
        </w:tblCellMar>
        <w:tblLook w:val="04A0"/>
      </w:tblPr>
      <w:tblGrid>
        <w:gridCol w:w="225"/>
        <w:gridCol w:w="228"/>
        <w:gridCol w:w="8709"/>
      </w:tblGrid>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r>
              <w:t xml:space="preserve">1. </w:t>
            </w:r>
          </w:p>
        </w:tc>
        <w:tc>
          <w:tcPr>
            <w:tcW w:w="0" w:type="auto"/>
            <w:vAlign w:val="center"/>
            <w:hideMark/>
          </w:tcPr>
          <w:p w:rsidR="00B25102" w:rsidRDefault="00B25102">
            <w:pPr>
              <w:rPr>
                <w:sz w:val="24"/>
                <w:szCs w:val="24"/>
              </w:rPr>
            </w:pPr>
            <w:r>
              <w:t>Der Beförderer hat für jede einzelne Fahrt eine Steuererklärung nach amtlich vorgeschriebenem Vordruck in zwei Stücken bei der zuständigen Zolldienststelle abzugeben.</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r>
              <w:t xml:space="preserve">2. </w:t>
            </w:r>
          </w:p>
        </w:tc>
        <w:tc>
          <w:tcPr>
            <w:tcW w:w="0" w:type="auto"/>
            <w:vAlign w:val="center"/>
            <w:hideMark/>
          </w:tcPr>
          <w:p w:rsidR="00B25102" w:rsidRDefault="00B25102">
            <w:pPr>
              <w:rPr>
                <w:sz w:val="24"/>
                <w:szCs w:val="24"/>
              </w:rPr>
            </w:pPr>
            <w:r>
              <w:t>Die zuständige Zolldienststelle setzt für das zuständige Finanzamt die Steuer auf beiden Stücken der Steuererklärung fest und gibt ein Stück dem Beförderer zurück, der die Steuer gleichzeitig zu entrichten hat. Der Beförderer hat dieses Stück mit der Steuerquittung während der Fahrt mit sich zu führen.</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r>
              <w:t xml:space="preserve">3. </w:t>
            </w:r>
          </w:p>
        </w:tc>
        <w:tc>
          <w:tcPr>
            <w:tcW w:w="0" w:type="auto"/>
            <w:vAlign w:val="center"/>
            <w:hideMark/>
          </w:tcPr>
          <w:p w:rsidR="00B25102" w:rsidRDefault="00B25102">
            <w:pPr>
              <w:rPr>
                <w:sz w:val="24"/>
                <w:szCs w:val="24"/>
              </w:rPr>
            </w:pPr>
            <w:r>
              <w:t xml:space="preserve">Der Beförderer hat bei der zuständigen Zolldienststelle, bei der er die Grenze zum Drittlandsgebiet überschreitet, eine weitere Steuererklärung in zwei Stücken abzugeben, wenn sich die Zahl der Personenkilometer (§ </w:t>
            </w:r>
            <w:hyperlink r:id="rId65" w:history="1">
              <w:r>
                <w:rPr>
                  <w:rStyle w:val="Hyperlink"/>
                </w:rPr>
                <w:t>10</w:t>
              </w:r>
            </w:hyperlink>
            <w:r>
              <w:t xml:space="preserve"> Abs. 6 Satz 2), von der bei der Steuerfestsetzung nach Nummer 2 ausgegangen worden ist, geändert hat. Die Zolldienststelle setzt die Steuer neu fest. Gleichzeitig ist ein Unterschiedsbetrag zugunsten des Finanzamts zu entrichten oder ein Unterschiedsbetrag zugunsten des Beförderers zu erstatten. Die Sätze 2 und 3 sind nicht anzuwenden, wenn der Unterschiedsbetrag weniger als 2,50 Euro beträgt. Die Zolldienststelle kann in diesen Fällen auf eine schriftliche Steuererklärung verzichten.</w:t>
            </w:r>
          </w:p>
        </w:tc>
      </w:tr>
    </w:tbl>
    <w:p w:rsidR="00B25102" w:rsidRDefault="00B25102" w:rsidP="00B25102">
      <w:pPr>
        <w:pStyle w:val="StandardWeb"/>
      </w:pPr>
      <w:r>
        <w:t xml:space="preserve">(5a) In den Fällen der Fahrzeugeinzelbesteuerung (§ </w:t>
      </w:r>
      <w:hyperlink r:id="rId66" w:history="1">
        <w:r>
          <w:rPr>
            <w:rStyle w:val="Hyperlink"/>
          </w:rPr>
          <w:t>16</w:t>
        </w:r>
      </w:hyperlink>
      <w:r>
        <w:t xml:space="preserve"> Abs. 5a) hat der Erwerber, abweichend von den Absätzen 1 bis 4, spätestens bis zum 10. Tag nach Ablauf des Tages, an dem die Steuer entstanden ist, eine Steuererklärung nach amtlich vorgeschriebenem Vordruck abzugeben, in der er die zu entrichtende Steuer selbst zu berechnen hat (Steueranmeldung). Die Steueranmeldung muss vom Erwerber eigenhändig unterschrieben sein. Gibt der Erwerber die Steueranmeldung nicht ab oder hat er die Steuer nicht richtig berechnet, so kann </w:t>
      </w:r>
      <w:r>
        <w:lastRenderedPageBreak/>
        <w:t>das Finanzamt die Steuer festsetzen. Die Steuer ist am 10. Tag nach Ablauf des Tages fällig, an dem sie entstanden ist.</w:t>
      </w:r>
    </w:p>
    <w:p w:rsidR="00B25102" w:rsidRDefault="00B25102" w:rsidP="00B25102">
      <w:pPr>
        <w:pStyle w:val="StandardWeb"/>
      </w:pPr>
      <w:r>
        <w:t xml:space="preserve">(5b) In den Fällen des § </w:t>
      </w:r>
      <w:hyperlink r:id="rId67" w:history="1">
        <w:r>
          <w:rPr>
            <w:rStyle w:val="Hyperlink"/>
          </w:rPr>
          <w:t>16</w:t>
        </w:r>
      </w:hyperlink>
      <w:r>
        <w:t xml:space="preserve"> Abs. 5b ist das Besteuerungsverfahren nach den Absätzen 3 und 4 durchzuführen. Die bei der Beförderungseinzelbesteuerung (§ </w:t>
      </w:r>
      <w:hyperlink r:id="rId68" w:history="1">
        <w:r>
          <w:rPr>
            <w:rStyle w:val="Hyperlink"/>
          </w:rPr>
          <w:t>16</w:t>
        </w:r>
      </w:hyperlink>
      <w:r>
        <w:t xml:space="preserve"> Abs. 5) entrichtete Steuer ist auf die nach Absatz 3 Satz 1 zu entrichtende Steuer anzurechnen.</w:t>
      </w:r>
    </w:p>
    <w:p w:rsidR="00B25102" w:rsidRDefault="00B25102" w:rsidP="00B25102">
      <w:pPr>
        <w:pStyle w:val="StandardWeb"/>
      </w:pPr>
      <w:r>
        <w:t>(6) Zur Vermeidung von Härten kann das Bundesministerium der Finanzen mit Zustimmung des Bundesrates durch Rechtsverordnung die Fristen für die Voranmeldungen und Vorauszahlungen um einen Monat verlängern und das Verfahren näher bestimmen. Dabei kann angeordnet werden, dass der Unternehmer eine Sondervorauszahlung auf die Steuer für das Kalenderjahr zu entrichten hat.</w:t>
      </w:r>
    </w:p>
    <w:p w:rsidR="00B25102" w:rsidRDefault="00B25102" w:rsidP="00B25102">
      <w:pPr>
        <w:pStyle w:val="StandardWeb"/>
      </w:pPr>
      <w:r>
        <w:t>(7) Zur Vereinfachung des Besteuerungsverfahrens kann das Bundesministerium der Finanzen mit Zustimmung des Bundesrates durch Rechtsverordnung bestimmen, dass und unter welchen Voraussetzungen auf die Erhebung der Steuer für Lieferungen von Gold, Silber und Platin sowie sonstige Leistungen im Geschäft mit diesen Edelmetallen zwischen Unternehmern, die an einer Wertpapierbörse im Inland mit dem Recht zur Teilnahme am Handel zugelassen sind, verzichtet werden kann. Das gilt nicht für Münzen und Medaillen aus diesen Edelmetallen.</w:t>
      </w:r>
    </w:p>
    <w:p w:rsidR="00B25102" w:rsidRDefault="00B25102" w:rsidP="00B25102">
      <w:pPr>
        <w:pStyle w:val="StandardWeb"/>
      </w:pPr>
      <w:r>
        <w:t xml:space="preserve">(8) </w:t>
      </w:r>
      <w:r>
        <w:rPr>
          <w:i/>
          <w:iCs/>
        </w:rPr>
        <w:t>(weggefallen)</w:t>
      </w:r>
    </w:p>
    <w:p w:rsidR="00B25102" w:rsidRDefault="00B25102" w:rsidP="00B25102">
      <w:pPr>
        <w:pStyle w:val="StandardWeb"/>
      </w:pPr>
      <w:r>
        <w:t xml:space="preserve">(9) Zur Vereinfachung des Besteuerungsverfahrens kann das Bundesministerium der Finanzen mit Zustimmung des Bundesrates durch Rechtsverordnung die Vergütung der Vorsteuerbeträge (§ </w:t>
      </w:r>
      <w:hyperlink r:id="rId69" w:history="1">
        <w:r>
          <w:rPr>
            <w:rStyle w:val="Hyperlink"/>
          </w:rPr>
          <w:t>15</w:t>
        </w:r>
      </w:hyperlink>
      <w:r>
        <w:t xml:space="preserve">) an im Ausland ansässige Unternehmer, abweichend von § </w:t>
      </w:r>
      <w:hyperlink r:id="rId70" w:history="1">
        <w:r>
          <w:rPr>
            <w:rStyle w:val="Hyperlink"/>
          </w:rPr>
          <w:t>16</w:t>
        </w:r>
      </w:hyperlink>
      <w:r>
        <w:t xml:space="preserve"> und von den Absätzen 1 bis 4, in einem besonderen Verfahren regeln. Dabei kann auch angeordnet werden,</w:t>
      </w:r>
    </w:p>
    <w:tbl>
      <w:tblPr>
        <w:tblW w:w="0" w:type="auto"/>
        <w:tblCellSpacing w:w="15" w:type="dxa"/>
        <w:tblCellMar>
          <w:top w:w="15" w:type="dxa"/>
          <w:left w:w="15" w:type="dxa"/>
          <w:bottom w:w="15" w:type="dxa"/>
          <w:right w:w="15" w:type="dxa"/>
        </w:tblCellMar>
        <w:tblLook w:val="04A0"/>
      </w:tblPr>
      <w:tblGrid>
        <w:gridCol w:w="225"/>
        <w:gridCol w:w="228"/>
        <w:gridCol w:w="8709"/>
      </w:tblGrid>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r>
              <w:t xml:space="preserve">1. </w:t>
            </w:r>
          </w:p>
        </w:tc>
        <w:tc>
          <w:tcPr>
            <w:tcW w:w="0" w:type="auto"/>
            <w:vAlign w:val="center"/>
            <w:hideMark/>
          </w:tcPr>
          <w:p w:rsidR="00B25102" w:rsidRDefault="00B25102">
            <w:pPr>
              <w:rPr>
                <w:sz w:val="24"/>
                <w:szCs w:val="24"/>
              </w:rPr>
            </w:pPr>
            <w:r>
              <w:t>dass die Vergütung nur erfolgt, wenn sie eine bestimmte Mindesthöhe erreicht,</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r>
              <w:t xml:space="preserve">2. </w:t>
            </w:r>
          </w:p>
        </w:tc>
        <w:tc>
          <w:tcPr>
            <w:tcW w:w="0" w:type="auto"/>
            <w:vAlign w:val="center"/>
            <w:hideMark/>
          </w:tcPr>
          <w:p w:rsidR="00B25102" w:rsidRDefault="00B25102">
            <w:pPr>
              <w:rPr>
                <w:sz w:val="24"/>
                <w:szCs w:val="24"/>
              </w:rPr>
            </w:pPr>
            <w:r>
              <w:t>innerhalb welcher Frist der Vergütungsantrag zu stellen ist,</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r>
              <w:t xml:space="preserve">3. </w:t>
            </w:r>
          </w:p>
        </w:tc>
        <w:tc>
          <w:tcPr>
            <w:tcW w:w="0" w:type="auto"/>
            <w:vAlign w:val="center"/>
            <w:hideMark/>
          </w:tcPr>
          <w:p w:rsidR="00B25102" w:rsidRDefault="00B25102">
            <w:pPr>
              <w:rPr>
                <w:sz w:val="24"/>
                <w:szCs w:val="24"/>
              </w:rPr>
            </w:pPr>
            <w:r>
              <w:t>in welchen Fällen der Unternehmer den Antrag eigenhändig zu unterschreiben hat,</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r>
              <w:t xml:space="preserve">4. </w:t>
            </w:r>
          </w:p>
        </w:tc>
        <w:tc>
          <w:tcPr>
            <w:tcW w:w="0" w:type="auto"/>
            <w:vAlign w:val="center"/>
            <w:hideMark/>
          </w:tcPr>
          <w:p w:rsidR="00B25102" w:rsidRDefault="00B25102">
            <w:pPr>
              <w:rPr>
                <w:sz w:val="24"/>
                <w:szCs w:val="24"/>
              </w:rPr>
            </w:pPr>
            <w:r>
              <w:t>wie und in welchem Umfang Vorsteuerbeträge durch Vorlage von Rechnungen und Einfuhrbelegen nachzuweisen sind,</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r>
              <w:t xml:space="preserve">5. </w:t>
            </w:r>
          </w:p>
        </w:tc>
        <w:tc>
          <w:tcPr>
            <w:tcW w:w="0" w:type="auto"/>
            <w:vAlign w:val="center"/>
            <w:hideMark/>
          </w:tcPr>
          <w:p w:rsidR="00B25102" w:rsidRDefault="00B25102">
            <w:pPr>
              <w:rPr>
                <w:sz w:val="24"/>
                <w:szCs w:val="24"/>
              </w:rPr>
            </w:pPr>
            <w:r>
              <w:t>dass der Bescheid über die Vergütung der Vorsteuerbeträge elektronisch erteilt wird,</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r>
              <w:t xml:space="preserve">6. </w:t>
            </w:r>
          </w:p>
        </w:tc>
        <w:tc>
          <w:tcPr>
            <w:tcW w:w="0" w:type="auto"/>
            <w:vAlign w:val="center"/>
            <w:hideMark/>
          </w:tcPr>
          <w:p w:rsidR="00B25102" w:rsidRDefault="00B25102">
            <w:pPr>
              <w:rPr>
                <w:sz w:val="24"/>
                <w:szCs w:val="24"/>
              </w:rPr>
            </w:pPr>
            <w:r>
              <w:t>wie und in welchem Umfang der zu vergütende Betrag zu verzinsen ist.</w:t>
            </w:r>
          </w:p>
        </w:tc>
      </w:tr>
    </w:tbl>
    <w:p w:rsidR="00B25102" w:rsidRDefault="00B25102" w:rsidP="00B25102">
      <w:pPr>
        <w:pStyle w:val="StandardWeb"/>
      </w:pPr>
      <w:r>
        <w:t xml:space="preserve">Einem Unternehmer, der im Gemeinschaftsgebiet ansässig ist und Umsätze ausführt, die zum Teil den Vorsteuerabzug ausschließen, wird die Vorsteuer höchstens in der Höhe vergütet, in der er in dem Mitgliedstaat, in dem er ansässig ist, bei Anwendung eines Pro-rata-Satzes zum Vorsteuerabzug berechtigt wäre. Einem Unternehmer, der nicht im Gemeinschaftsgebiet ansässig ist, wird die Vorsteuer nur vergütet, wenn in dem Land, in dem der Unternehmer seinen Sitz hat, keine Umsatzsteuer oder ähnliche Steuer erhoben oder im Fall der Erhebung im Inland ansässigen Unternehmern vergütet wird. Von der Vergütung ausgeschlossen sind bei Unternehmern, die nicht im Gemeinschaftsgebiet ansässig sind, die Vorsteuerbeträge, die </w:t>
      </w:r>
      <w:r>
        <w:lastRenderedPageBreak/>
        <w:t xml:space="preserve">auf den Bezug von Kraftstoffen entfallen. Die Sätze 4 und 5 gelten nicht für Unternehmer, die nicht im Gemeinschaftsgebiet ansässig sind, soweit sie im Besteuerungszeitraum (§ </w:t>
      </w:r>
      <w:hyperlink r:id="rId71" w:history="1">
        <w:r>
          <w:rPr>
            <w:rStyle w:val="Hyperlink"/>
          </w:rPr>
          <w:t>16</w:t>
        </w:r>
      </w:hyperlink>
      <w:r>
        <w:t xml:space="preserve"> Abs. 1 Satz 2) als Steuerschuldner ausschließlich elektronische Leistungen nach § </w:t>
      </w:r>
      <w:hyperlink r:id="rId72" w:history="1">
        <w:r>
          <w:rPr>
            <w:rStyle w:val="Hyperlink"/>
          </w:rPr>
          <w:t>3a</w:t>
        </w:r>
      </w:hyperlink>
      <w:r>
        <w:t xml:space="preserve"> Abs. 5 im Gemeinschaftsgebiet erbracht und für diese Umsätze von § </w:t>
      </w:r>
      <w:hyperlink r:id="rId73" w:history="1">
        <w:r>
          <w:rPr>
            <w:rStyle w:val="Hyperlink"/>
          </w:rPr>
          <w:t>18</w:t>
        </w:r>
      </w:hyperlink>
      <w:r>
        <w:t xml:space="preserve"> Abs. 4c Gebrauch gemacht haben oder diese Umsätze in einem anderen Mitgliedstaat erklärt sowie die darauf entfallende Steuer entrichtet haben; Voraussetzung ist, dass die Vorsteuerbeträge im Zusammenhang mit elektronischen Leistungen nach § </w:t>
      </w:r>
      <w:hyperlink r:id="rId74" w:history="1">
        <w:r>
          <w:rPr>
            <w:rStyle w:val="Hyperlink"/>
          </w:rPr>
          <w:t>3a</w:t>
        </w:r>
      </w:hyperlink>
      <w:r>
        <w:t xml:space="preserve"> Abs. 5 stehen.</w:t>
      </w:r>
    </w:p>
    <w:p w:rsidR="00B25102" w:rsidRDefault="00B25102" w:rsidP="00B25102">
      <w:pPr>
        <w:pStyle w:val="StandardWeb"/>
      </w:pPr>
      <w:r>
        <w:t xml:space="preserve">(10) Zur Sicherung des Steueranspruchs in Fällen des innergemeinschaftlichen Erwerbs neuer motorbetriebener Landfahrzeuge und neuer Luftfahrzeuge (§ </w:t>
      </w:r>
      <w:hyperlink r:id="rId75" w:history="1">
        <w:r>
          <w:rPr>
            <w:rStyle w:val="Hyperlink"/>
          </w:rPr>
          <w:t>1b</w:t>
        </w:r>
      </w:hyperlink>
      <w:r>
        <w:t xml:space="preserve"> Abs. 2 und 3) gilt Folgendes:</w:t>
      </w:r>
    </w:p>
    <w:tbl>
      <w:tblPr>
        <w:tblW w:w="0" w:type="auto"/>
        <w:tblCellSpacing w:w="15" w:type="dxa"/>
        <w:tblCellMar>
          <w:top w:w="15" w:type="dxa"/>
          <w:left w:w="15" w:type="dxa"/>
          <w:bottom w:w="15" w:type="dxa"/>
          <w:right w:w="15" w:type="dxa"/>
        </w:tblCellMar>
        <w:tblLook w:val="04A0"/>
      </w:tblPr>
      <w:tblGrid>
        <w:gridCol w:w="205"/>
        <w:gridCol w:w="228"/>
        <w:gridCol w:w="282"/>
        <w:gridCol w:w="358"/>
        <w:gridCol w:w="8089"/>
      </w:tblGrid>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r>
              <w:t xml:space="preserve">1. </w:t>
            </w:r>
          </w:p>
        </w:tc>
        <w:tc>
          <w:tcPr>
            <w:tcW w:w="0" w:type="auto"/>
            <w:gridSpan w:val="3"/>
            <w:vAlign w:val="center"/>
            <w:hideMark/>
          </w:tcPr>
          <w:p w:rsidR="00B25102" w:rsidRDefault="00B25102">
            <w:pPr>
              <w:rPr>
                <w:sz w:val="24"/>
                <w:szCs w:val="24"/>
              </w:rPr>
            </w:pPr>
            <w:r>
              <w:t>Die für die Zulassung oder die Registrierung von Fahrzeugen zuständigen Behörden sind verpflichtet, den für die Besteuerung des innergemeinschaftlichen Erwerbs neuer Fahrzeuge zuständigen Finanzbehörden ohne Ersuchen Folgendes mitzuteilen:</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a) </w:t>
            </w:r>
          </w:p>
        </w:tc>
        <w:tc>
          <w:tcPr>
            <w:tcW w:w="0" w:type="auto"/>
            <w:gridSpan w:val="2"/>
            <w:vAlign w:val="center"/>
            <w:hideMark/>
          </w:tcPr>
          <w:p w:rsidR="00B25102" w:rsidRDefault="00B25102">
            <w:pPr>
              <w:rPr>
                <w:sz w:val="24"/>
                <w:szCs w:val="24"/>
              </w:rPr>
            </w:pPr>
            <w:r>
              <w:t>bei neuen motorbetriebenen Landfahrzeugen die erstmalige Ausgabe von Zulassungsbescheinigungen Teil II oder die erstmalige Zuteilung eines amtlichen Kennzeichens bei zulassungsfreien Fahrzeugen. Gleichzeitig sind die in Nummer 2 Buchstabe a bezeichneten Daten und das zugeteilte amtliche Kennzeichen oder, wenn dieses noch nicht zugeteilt worden ist, die Nummer der Zulassungsbescheinigung Teil II zu übermitteln,</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b) </w:t>
            </w:r>
          </w:p>
        </w:tc>
        <w:tc>
          <w:tcPr>
            <w:tcW w:w="0" w:type="auto"/>
            <w:gridSpan w:val="2"/>
            <w:vAlign w:val="center"/>
            <w:hideMark/>
          </w:tcPr>
          <w:p w:rsidR="00B25102" w:rsidRDefault="00B25102">
            <w:pPr>
              <w:rPr>
                <w:sz w:val="24"/>
                <w:szCs w:val="24"/>
              </w:rPr>
            </w:pPr>
            <w:r>
              <w:t>bei neuen Luftfahrzeugen die erstmalige Registrierung dieser Luftfahrzeuge. Gleichzeitig sind die in Nummer 3 Buchstabe a bezeichneten Daten und das zugeteilte amtliche Kennzeichen zu übermitteln. Als Registrierung im Sinne dieser Vorschrift gilt nicht die Eintragung eines Luftfahrzeugs in das Register für Pfandrechte an Luftfahrzeugen.</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r>
              <w:t xml:space="preserve">2. </w:t>
            </w:r>
          </w:p>
        </w:tc>
        <w:tc>
          <w:tcPr>
            <w:tcW w:w="0" w:type="auto"/>
            <w:gridSpan w:val="3"/>
            <w:vAlign w:val="center"/>
            <w:hideMark/>
          </w:tcPr>
          <w:p w:rsidR="00B25102" w:rsidRDefault="00B25102">
            <w:pPr>
              <w:rPr>
                <w:sz w:val="24"/>
                <w:szCs w:val="24"/>
              </w:rPr>
            </w:pPr>
            <w:r>
              <w:t xml:space="preserve">In den Fällen des innergemeinschaftlichen Erwerbs neuer motorbetriebener Landfahrzeuge (§ </w:t>
            </w:r>
            <w:hyperlink r:id="rId76" w:history="1">
              <w:r>
                <w:rPr>
                  <w:rStyle w:val="Hyperlink"/>
                </w:rPr>
                <w:t>1b</w:t>
              </w:r>
            </w:hyperlink>
            <w:r>
              <w:t xml:space="preserve"> Absatz 2 Satz 1 Nummer 1 und Absatz 3 Nummer 1) gilt Folgendes:</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a) </w:t>
            </w:r>
          </w:p>
        </w:tc>
        <w:tc>
          <w:tcPr>
            <w:tcW w:w="0" w:type="auto"/>
            <w:gridSpan w:val="2"/>
            <w:vAlign w:val="center"/>
            <w:hideMark/>
          </w:tcPr>
          <w:p w:rsidR="00B25102" w:rsidRDefault="00B25102">
            <w:pPr>
              <w:rPr>
                <w:sz w:val="24"/>
                <w:szCs w:val="24"/>
              </w:rPr>
            </w:pPr>
            <w:r>
              <w:t>Bei der erstmaligen Ausgabe einer Zulassungsbescheinigung Teil II im Inland oder bei der erstmaligen Zuteilung eines amtlichen Kennzeichens für zulassungsfreie Fahrzeuge im Inland hat der Antragsteller die folgenden Angaben zur Übermittlung an die Finanzbehörden zu machen:</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aa) </w:t>
            </w:r>
          </w:p>
        </w:tc>
        <w:tc>
          <w:tcPr>
            <w:tcW w:w="0" w:type="auto"/>
            <w:vAlign w:val="center"/>
            <w:hideMark/>
          </w:tcPr>
          <w:p w:rsidR="00B25102" w:rsidRDefault="00B25102">
            <w:pPr>
              <w:rPr>
                <w:sz w:val="24"/>
                <w:szCs w:val="24"/>
              </w:rPr>
            </w:pPr>
            <w:r>
              <w:t xml:space="preserve">den Namen und die Anschrift des Antragstellers sowie das für ihn zuständige Finanzamt (§ </w:t>
            </w:r>
            <w:hyperlink r:id="rId77" w:history="1">
              <w:r>
                <w:rPr>
                  <w:rStyle w:val="Hyperlink"/>
                </w:rPr>
                <w:t>21</w:t>
              </w:r>
            </w:hyperlink>
            <w:r>
              <w:t xml:space="preserve"> der Abgabenordnung),</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bb) </w:t>
            </w:r>
          </w:p>
        </w:tc>
        <w:tc>
          <w:tcPr>
            <w:tcW w:w="0" w:type="auto"/>
            <w:vAlign w:val="center"/>
            <w:hideMark/>
          </w:tcPr>
          <w:p w:rsidR="00B25102" w:rsidRDefault="00B25102">
            <w:pPr>
              <w:rPr>
                <w:sz w:val="24"/>
                <w:szCs w:val="24"/>
              </w:rPr>
            </w:pPr>
            <w:r>
              <w:t>den Namen und die Anschrift des Lieferers,</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cc) </w:t>
            </w:r>
          </w:p>
        </w:tc>
        <w:tc>
          <w:tcPr>
            <w:tcW w:w="0" w:type="auto"/>
            <w:vAlign w:val="center"/>
            <w:hideMark/>
          </w:tcPr>
          <w:p w:rsidR="00B25102" w:rsidRDefault="00B25102">
            <w:pPr>
              <w:rPr>
                <w:sz w:val="24"/>
                <w:szCs w:val="24"/>
              </w:rPr>
            </w:pPr>
            <w:r>
              <w:t>den Tag der Lieferung,</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dd) </w:t>
            </w:r>
          </w:p>
        </w:tc>
        <w:tc>
          <w:tcPr>
            <w:tcW w:w="0" w:type="auto"/>
            <w:vAlign w:val="center"/>
            <w:hideMark/>
          </w:tcPr>
          <w:p w:rsidR="00B25102" w:rsidRDefault="00B25102">
            <w:pPr>
              <w:rPr>
                <w:sz w:val="24"/>
                <w:szCs w:val="24"/>
              </w:rPr>
            </w:pPr>
            <w:r>
              <w:t>den Tag der ersten Inbetriebnahme,</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ee) </w:t>
            </w:r>
          </w:p>
        </w:tc>
        <w:tc>
          <w:tcPr>
            <w:tcW w:w="0" w:type="auto"/>
            <w:vAlign w:val="center"/>
            <w:hideMark/>
          </w:tcPr>
          <w:p w:rsidR="00B25102" w:rsidRDefault="00B25102">
            <w:pPr>
              <w:rPr>
                <w:sz w:val="24"/>
                <w:szCs w:val="24"/>
              </w:rPr>
            </w:pPr>
            <w:r>
              <w:t>den Kilometerstand am Tag der Lieferung,</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ff) </w:t>
            </w:r>
          </w:p>
        </w:tc>
        <w:tc>
          <w:tcPr>
            <w:tcW w:w="0" w:type="auto"/>
            <w:vAlign w:val="center"/>
            <w:hideMark/>
          </w:tcPr>
          <w:p w:rsidR="00B25102" w:rsidRDefault="00B25102">
            <w:pPr>
              <w:rPr>
                <w:sz w:val="24"/>
                <w:szCs w:val="24"/>
              </w:rPr>
            </w:pPr>
            <w:r>
              <w:t>die Fahrzeugart, den Fahrzeughersteller, den Fahrzeugtyp und die Fahrzeug-Identifizierungsnummer,</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gg) </w:t>
            </w:r>
          </w:p>
        </w:tc>
        <w:tc>
          <w:tcPr>
            <w:tcW w:w="0" w:type="auto"/>
            <w:vAlign w:val="center"/>
            <w:hideMark/>
          </w:tcPr>
          <w:p w:rsidR="00B25102" w:rsidRDefault="00B25102">
            <w:pPr>
              <w:rPr>
                <w:sz w:val="24"/>
                <w:szCs w:val="24"/>
              </w:rPr>
            </w:pPr>
            <w:r>
              <w:t>den Verwendungszweck.</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gridSpan w:val="2"/>
            <w:vAlign w:val="center"/>
            <w:hideMark/>
          </w:tcPr>
          <w:p w:rsidR="00B25102" w:rsidRDefault="00B25102">
            <w:pPr>
              <w:rPr>
                <w:sz w:val="24"/>
                <w:szCs w:val="24"/>
              </w:rPr>
            </w:pPr>
            <w:r>
              <w:t xml:space="preserve">Der Antragsteller ist zu den Angaben nach den Doppelbuchstaben aa und bb auch dann verpflichtet, wenn er nicht zu den in § </w:t>
            </w:r>
            <w:hyperlink r:id="rId78" w:history="1">
              <w:r>
                <w:rPr>
                  <w:rStyle w:val="Hyperlink"/>
                </w:rPr>
                <w:t>1a</w:t>
              </w:r>
            </w:hyperlink>
            <w:r>
              <w:t xml:space="preserve"> Absatz 1 Nummer 2 und § </w:t>
            </w:r>
            <w:hyperlink r:id="rId79" w:history="1">
              <w:r>
                <w:rPr>
                  <w:rStyle w:val="Hyperlink"/>
                </w:rPr>
                <w:t>1b</w:t>
              </w:r>
            </w:hyperlink>
            <w:r>
              <w:t xml:space="preserve"> Absatz 1 genannten Personen gehört oder wenn Zweifel daran bestehen, dass die Eigenschaften als neues Fahrzeug im Sinne des § </w:t>
            </w:r>
            <w:hyperlink r:id="rId80" w:history="1">
              <w:r>
                <w:rPr>
                  <w:rStyle w:val="Hyperlink"/>
                </w:rPr>
                <w:t>1b</w:t>
              </w:r>
            </w:hyperlink>
            <w:r>
              <w:t xml:space="preserve"> Absatz 3 Nummer 1 vorliegen. Die Zulassungsbehörde darf die Zulassungsbescheinigung Teil II oder bei zulassungsfreien Fahrzeugen, die nach § 4 Absatz 2 und 3 der Fahrzeug-Zulassungsverordnung ein amtliches Kennzeichen führen, die Zulassungsbescheinigung Teil I erst aushändigen, wenn der Antragsteller die vorstehenden Angaben gemacht hat.</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b) </w:t>
            </w:r>
          </w:p>
        </w:tc>
        <w:tc>
          <w:tcPr>
            <w:tcW w:w="0" w:type="auto"/>
            <w:gridSpan w:val="2"/>
            <w:vAlign w:val="center"/>
            <w:hideMark/>
          </w:tcPr>
          <w:p w:rsidR="00B25102" w:rsidRDefault="00B25102">
            <w:pPr>
              <w:rPr>
                <w:sz w:val="24"/>
                <w:szCs w:val="24"/>
              </w:rPr>
            </w:pPr>
            <w:r>
              <w:t>Ist die Steuer für den innergemeinschaftlichen Erwerb nicht entrichtet worden, hat die Zulassungsbehörde auf Antrag des Finanzamts die Zulassungsbescheinigung Teil I für ungültig zu erklären und das amtliche Kennzeichen zu entstempeln. Die Zulassungsbehörde trifft die hierzu erforderlichen Anordnungen durch schriftlichen Verwaltungsakt (Abmeldungsbescheid). Das Finanzamt kann die Abmeldung von Amts wegen auch selbst durchführen, wenn die Zulassungsbehörde das Verfahren noch nicht eingeleitet hat. Satz 2 gilt entsprechend. Das Finanzamt teilt die durchgeführte Abmeldung unverzüglich der Zulassungsbehörde mit und händigt dem Fahrzeughalter die vorgeschriebene Bescheinigung über die Abmeldung aus. Die Durchführung der Abmeldung von Amts wegen richtet sich nach dem Verwaltungsverfahrensgesetz. Für Streitigkeiten über Abmeldungen von Amts wegen ist der Verwaltungsrechtsweg gegeben.</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r>
              <w:t xml:space="preserve">3. </w:t>
            </w:r>
          </w:p>
        </w:tc>
        <w:tc>
          <w:tcPr>
            <w:tcW w:w="0" w:type="auto"/>
            <w:gridSpan w:val="3"/>
            <w:vAlign w:val="center"/>
            <w:hideMark/>
          </w:tcPr>
          <w:p w:rsidR="00B25102" w:rsidRDefault="00B25102">
            <w:pPr>
              <w:rPr>
                <w:sz w:val="24"/>
                <w:szCs w:val="24"/>
              </w:rPr>
            </w:pPr>
            <w:r>
              <w:t xml:space="preserve">In den Fällen des innergemeinschaftlichen Erwerbs neuer Luftfahrzeuge (§ </w:t>
            </w:r>
            <w:hyperlink r:id="rId81" w:history="1">
              <w:r>
                <w:rPr>
                  <w:rStyle w:val="Hyperlink"/>
                </w:rPr>
                <w:t>1b</w:t>
              </w:r>
            </w:hyperlink>
            <w:r>
              <w:t xml:space="preserve"> Abs. 2 Satz 1 Nr. 3 und Abs. 3 Nr. 3) gilt Folgendes:</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a) </w:t>
            </w:r>
          </w:p>
        </w:tc>
        <w:tc>
          <w:tcPr>
            <w:tcW w:w="0" w:type="auto"/>
            <w:gridSpan w:val="2"/>
            <w:vAlign w:val="center"/>
            <w:hideMark/>
          </w:tcPr>
          <w:p w:rsidR="00B25102" w:rsidRDefault="00B25102">
            <w:pPr>
              <w:rPr>
                <w:sz w:val="24"/>
                <w:szCs w:val="24"/>
              </w:rPr>
            </w:pPr>
            <w:r>
              <w:t>Bei der erstmaligen Registrierung in der Luftfahrzeugrolle hat der Antragsteller die folgenden Angaben zur Übermittlung an die Finanzbehörden zu machen:</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aa) </w:t>
            </w:r>
          </w:p>
        </w:tc>
        <w:tc>
          <w:tcPr>
            <w:tcW w:w="0" w:type="auto"/>
            <w:vAlign w:val="center"/>
            <w:hideMark/>
          </w:tcPr>
          <w:p w:rsidR="00B25102" w:rsidRDefault="00B25102">
            <w:pPr>
              <w:rPr>
                <w:sz w:val="24"/>
                <w:szCs w:val="24"/>
              </w:rPr>
            </w:pPr>
            <w:r>
              <w:t xml:space="preserve">den Namen und die Anschrift des Antragstellers sowie das für ihn zuständige Finanzamt (§ </w:t>
            </w:r>
            <w:hyperlink r:id="rId82" w:history="1">
              <w:r>
                <w:rPr>
                  <w:rStyle w:val="Hyperlink"/>
                </w:rPr>
                <w:t>21</w:t>
              </w:r>
            </w:hyperlink>
            <w:r>
              <w:t xml:space="preserve"> der Abgabenordnung),</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bb) </w:t>
            </w:r>
          </w:p>
        </w:tc>
        <w:tc>
          <w:tcPr>
            <w:tcW w:w="0" w:type="auto"/>
            <w:vAlign w:val="center"/>
            <w:hideMark/>
          </w:tcPr>
          <w:p w:rsidR="00B25102" w:rsidRDefault="00B25102">
            <w:pPr>
              <w:rPr>
                <w:sz w:val="24"/>
                <w:szCs w:val="24"/>
              </w:rPr>
            </w:pPr>
            <w:r>
              <w:t>den Namen und die Anschrift des Lieferers,</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cc) </w:t>
            </w:r>
          </w:p>
        </w:tc>
        <w:tc>
          <w:tcPr>
            <w:tcW w:w="0" w:type="auto"/>
            <w:vAlign w:val="center"/>
            <w:hideMark/>
          </w:tcPr>
          <w:p w:rsidR="00B25102" w:rsidRDefault="00B25102">
            <w:pPr>
              <w:rPr>
                <w:sz w:val="24"/>
                <w:szCs w:val="24"/>
              </w:rPr>
            </w:pPr>
            <w:r>
              <w:t>den Tag der Lieferung,</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dd) </w:t>
            </w:r>
          </w:p>
        </w:tc>
        <w:tc>
          <w:tcPr>
            <w:tcW w:w="0" w:type="auto"/>
            <w:vAlign w:val="center"/>
            <w:hideMark/>
          </w:tcPr>
          <w:p w:rsidR="00B25102" w:rsidRDefault="00B25102">
            <w:pPr>
              <w:rPr>
                <w:sz w:val="24"/>
                <w:szCs w:val="24"/>
              </w:rPr>
            </w:pPr>
            <w:r>
              <w:t>das Entgelt (Kaufpreis),</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ee) </w:t>
            </w:r>
          </w:p>
        </w:tc>
        <w:tc>
          <w:tcPr>
            <w:tcW w:w="0" w:type="auto"/>
            <w:vAlign w:val="center"/>
            <w:hideMark/>
          </w:tcPr>
          <w:p w:rsidR="00B25102" w:rsidRDefault="00B25102">
            <w:pPr>
              <w:rPr>
                <w:sz w:val="24"/>
                <w:szCs w:val="24"/>
              </w:rPr>
            </w:pPr>
            <w:r>
              <w:t>den Tag der ersten Inbetriebnahme,</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ff) </w:t>
            </w:r>
          </w:p>
        </w:tc>
        <w:tc>
          <w:tcPr>
            <w:tcW w:w="0" w:type="auto"/>
            <w:vAlign w:val="center"/>
            <w:hideMark/>
          </w:tcPr>
          <w:p w:rsidR="00B25102" w:rsidRDefault="00B25102">
            <w:pPr>
              <w:rPr>
                <w:sz w:val="24"/>
                <w:szCs w:val="24"/>
              </w:rPr>
            </w:pPr>
            <w:r>
              <w:t>die Starthöchstmasse,</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gg) </w:t>
            </w:r>
          </w:p>
        </w:tc>
        <w:tc>
          <w:tcPr>
            <w:tcW w:w="0" w:type="auto"/>
            <w:vAlign w:val="center"/>
            <w:hideMark/>
          </w:tcPr>
          <w:p w:rsidR="00B25102" w:rsidRDefault="00B25102">
            <w:pPr>
              <w:rPr>
                <w:sz w:val="24"/>
                <w:szCs w:val="24"/>
              </w:rPr>
            </w:pPr>
            <w:r>
              <w:t>die Zahl der bisherigen Betriebsstunden am Tag der Lieferung,</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hh) </w:t>
            </w:r>
          </w:p>
        </w:tc>
        <w:tc>
          <w:tcPr>
            <w:tcW w:w="0" w:type="auto"/>
            <w:vAlign w:val="center"/>
            <w:hideMark/>
          </w:tcPr>
          <w:p w:rsidR="00B25102" w:rsidRDefault="00B25102">
            <w:pPr>
              <w:rPr>
                <w:sz w:val="24"/>
                <w:szCs w:val="24"/>
              </w:rPr>
            </w:pPr>
            <w:r>
              <w:t>den Flugzeughersteller und den Flugzeugtyp,</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ii) </w:t>
            </w:r>
          </w:p>
        </w:tc>
        <w:tc>
          <w:tcPr>
            <w:tcW w:w="0" w:type="auto"/>
            <w:vAlign w:val="center"/>
            <w:hideMark/>
          </w:tcPr>
          <w:p w:rsidR="00B25102" w:rsidRDefault="00B25102">
            <w:pPr>
              <w:rPr>
                <w:sz w:val="24"/>
                <w:szCs w:val="24"/>
              </w:rPr>
            </w:pPr>
            <w:r>
              <w:t>den Verwendungszweck.</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0" w:type="auto"/>
            <w:gridSpan w:val="2"/>
            <w:vAlign w:val="center"/>
            <w:hideMark/>
          </w:tcPr>
          <w:p w:rsidR="00B25102" w:rsidRDefault="00B25102">
            <w:pPr>
              <w:rPr>
                <w:sz w:val="24"/>
                <w:szCs w:val="24"/>
              </w:rPr>
            </w:pPr>
            <w:r>
              <w:t xml:space="preserve">Der Antragsteller ist zu den Angaben nach Satz 1 Doppelbuchstabe aa und bb auch dann verpflichtet, wenn er nicht zu den in § </w:t>
            </w:r>
            <w:hyperlink r:id="rId83" w:history="1">
              <w:r>
                <w:rPr>
                  <w:rStyle w:val="Hyperlink"/>
                </w:rPr>
                <w:t>1a</w:t>
              </w:r>
            </w:hyperlink>
            <w:r>
              <w:t xml:space="preserve"> Abs. 1 Nr. 2 und § </w:t>
            </w:r>
            <w:hyperlink r:id="rId84" w:history="1">
              <w:r>
                <w:rPr>
                  <w:rStyle w:val="Hyperlink"/>
                </w:rPr>
                <w:t>1b</w:t>
              </w:r>
            </w:hyperlink>
            <w:r>
              <w:t xml:space="preserve"> Abs. 1 genannten Personen gehört oder wenn Zweifel daran bestehen, ob die Eigenschaften als neues Fahrzeug im Sinne des § </w:t>
            </w:r>
            <w:hyperlink r:id="rId85" w:history="1">
              <w:r>
                <w:rPr>
                  <w:rStyle w:val="Hyperlink"/>
                </w:rPr>
                <w:t>1b</w:t>
              </w:r>
            </w:hyperlink>
            <w:r>
              <w:t xml:space="preserve"> Abs. 3 Nr. 3 vorliegen. Das Luftfahrt-Bundesamt darf die Eintragung in der Luftfahrzeugrolle erst vornehmen, wenn der Antragsteller die vorstehenden Angaben gemacht hat.</w:t>
            </w:r>
          </w:p>
        </w:tc>
      </w:tr>
      <w:tr w:rsidR="00B25102" w:rsidTr="00B25102">
        <w:trPr>
          <w:tblCellSpacing w:w="15" w:type="dxa"/>
        </w:trPr>
        <w:tc>
          <w:tcPr>
            <w:tcW w:w="180" w:type="dxa"/>
            <w:vAlign w:val="center"/>
            <w:hideMark/>
          </w:tcPr>
          <w:p w:rsidR="00B25102" w:rsidRDefault="00B25102">
            <w:pPr>
              <w:rPr>
                <w:sz w:val="24"/>
                <w:szCs w:val="24"/>
              </w:rPr>
            </w:pPr>
          </w:p>
        </w:tc>
        <w:tc>
          <w:tcPr>
            <w:tcW w:w="0" w:type="auto"/>
            <w:vAlign w:val="center"/>
            <w:hideMark/>
          </w:tcPr>
          <w:p w:rsidR="00B25102" w:rsidRDefault="00B25102">
            <w:pPr>
              <w:rPr>
                <w:sz w:val="24"/>
                <w:szCs w:val="24"/>
              </w:rPr>
            </w:pPr>
          </w:p>
        </w:tc>
        <w:tc>
          <w:tcPr>
            <w:tcW w:w="50" w:type="pct"/>
            <w:vAlign w:val="center"/>
            <w:hideMark/>
          </w:tcPr>
          <w:p w:rsidR="00B25102" w:rsidRDefault="00B25102">
            <w:pPr>
              <w:rPr>
                <w:sz w:val="24"/>
                <w:szCs w:val="24"/>
              </w:rPr>
            </w:pPr>
            <w:r>
              <w:t xml:space="preserve">b) </w:t>
            </w:r>
          </w:p>
        </w:tc>
        <w:tc>
          <w:tcPr>
            <w:tcW w:w="0" w:type="auto"/>
            <w:gridSpan w:val="2"/>
            <w:vAlign w:val="center"/>
            <w:hideMark/>
          </w:tcPr>
          <w:p w:rsidR="00B25102" w:rsidRDefault="00B25102">
            <w:pPr>
              <w:rPr>
                <w:sz w:val="24"/>
                <w:szCs w:val="24"/>
              </w:rPr>
            </w:pPr>
            <w:r>
              <w:t>Ist die Steuer für den innergemeinschaftlichen Erwerb nicht entrichtet worden, so hat das Luftfahrt-Bundesamt auf Antrag des Finanzamts die Betriebserlaubnis zu widerrufen. Es trifft die hierzu erforderlichen Anordnungen durch schriftlichen Verwaltungsakt (Abmeldungsbescheid). Die Durchführung der Abmeldung von Amts wegen richtet sich nach dem Verwaltungsverfahrensgesetz. Für Streitigkeiten über Abmeldungen von Amts wegen ist der Verwaltungsrechtsweg gegeben.</w:t>
            </w:r>
          </w:p>
        </w:tc>
      </w:tr>
    </w:tbl>
    <w:p w:rsidR="00B25102" w:rsidRDefault="00B25102" w:rsidP="00B25102">
      <w:pPr>
        <w:pStyle w:val="StandardWeb"/>
      </w:pPr>
      <w:r>
        <w:t>(11) Die für die Steueraufsicht zuständigen Zolldienststellen wirken an der umsatzsteuerlichen Erfassung von Personenbeförderungen mit nicht im Inland zugelassenen Kraftomnibussen mit. Sie sind berechtigt, im Rahmen von zeitlich und örtlich begrenzten Kontrollen die nach ihrer äußeren Erscheinung nicht im Inland zugelassenen Kraftomnibusse anzuhalten und die tatsächlichen und rechtlichen Verhältnisse festzustellen, die für die Umsatzsteuer maßgebend sind, und die festgestellten Daten den zuständigen Finanzbehörden zu übermitteln.</w:t>
      </w:r>
    </w:p>
    <w:p w:rsidR="00B25102" w:rsidRDefault="00B25102" w:rsidP="00B25102">
      <w:pPr>
        <w:pStyle w:val="StandardWeb"/>
      </w:pPr>
      <w:r>
        <w:t xml:space="preserve">(12) Im Ausland ansässige Unternehmer (§ </w:t>
      </w:r>
      <w:hyperlink r:id="rId86" w:history="1">
        <w:r>
          <w:rPr>
            <w:rStyle w:val="Hyperlink"/>
          </w:rPr>
          <w:t>13b</w:t>
        </w:r>
      </w:hyperlink>
      <w:r>
        <w:t xml:space="preserve"> Absatz 7), die grenzüberschreitende Personenbeförderungen mit nicht im Inland zugelassenen Kraftomnibussen durchführen, haben dies vor der erstmaligen Ausführung derartiger auf das Inland entfallender Umsätze (§ </w:t>
      </w:r>
      <w:hyperlink r:id="rId87" w:history="1">
        <w:r>
          <w:rPr>
            <w:rStyle w:val="Hyperlink"/>
          </w:rPr>
          <w:t>3b</w:t>
        </w:r>
      </w:hyperlink>
      <w:r>
        <w:t xml:space="preserve"> Abs. 1 Satz 2) bei dem für die Umsatzbesteuerung zuständigen Finanzamt anzuzeigen, soweit diese Umsätze nicht der Beförderungseinzelbesteuerung (§ </w:t>
      </w:r>
      <w:hyperlink r:id="rId88" w:history="1">
        <w:r>
          <w:rPr>
            <w:rStyle w:val="Hyperlink"/>
          </w:rPr>
          <w:t>16</w:t>
        </w:r>
      </w:hyperlink>
      <w:r>
        <w:t xml:space="preserve"> Abs. 5) unterliegen. Das Finanzamt erteilt hierüber eine Bescheinigung. Die Bescheinigung ist während jeder Fahrt mitzuführen und auf Verlangen den für die Steueraufsicht zuständigen Zolldienststellen vorzulegen. Bei Nichtvorlage der Bescheinigung können diese Zolldienststellen eine Sicherheitsleistung nach den abgabenrechtlichen Vorschriften in Höhe der für die einzelne Beförderungsleistung voraussichtlich zu entrichtenden Steuer verlangen. Die entrichtete Sicherheitsleistung ist auf die nach Absatz 3 Satz 1 zu entrichtende Steuer anzurechnen.</w:t>
      </w:r>
    </w:p>
    <w:p w:rsidR="00B25102" w:rsidRDefault="00B25102" w:rsidP="00B25102">
      <w:pPr>
        <w:pStyle w:val="hinweistext"/>
      </w:pPr>
      <w:r>
        <w:t>Fassung aufgrund des Gesetzes zur Anpassung der Abgabenordnung an den Zollkodex der Union und zur Änderung weiterer steuerlicher Vorschriften vom 22.12.2014 (</w:t>
      </w:r>
      <w:hyperlink r:id="rId89" w:history="1">
        <w:r>
          <w:rPr>
            <w:rStyle w:val="Hyperlink"/>
          </w:rPr>
          <w:t>BGBl. I S. 2417</w:t>
        </w:r>
      </w:hyperlink>
      <w:r>
        <w:t>) m.W.v. 01.01.2015.</w:t>
      </w:r>
    </w:p>
    <w:p w:rsidR="008A0B53" w:rsidRPr="008A0B53" w:rsidRDefault="008A0B53">
      <w:pPr>
        <w:rPr>
          <w:lang w:val="en-US"/>
        </w:rPr>
      </w:pPr>
    </w:p>
    <w:sectPr w:rsidR="008A0B53" w:rsidRPr="008A0B53" w:rsidSect="004D59D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8A0B53"/>
    <w:rsid w:val="0012634A"/>
    <w:rsid w:val="00196583"/>
    <w:rsid w:val="001D20B3"/>
    <w:rsid w:val="004D59D2"/>
    <w:rsid w:val="005E2517"/>
    <w:rsid w:val="008A0B53"/>
    <w:rsid w:val="008E1953"/>
    <w:rsid w:val="0091552D"/>
    <w:rsid w:val="00966ACF"/>
    <w:rsid w:val="00B25102"/>
    <w:rsid w:val="00ED3A27"/>
    <w:rsid w:val="00ED79AD"/>
    <w:rsid w:val="00F83A7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D59D2"/>
  </w:style>
  <w:style w:type="paragraph" w:styleId="berschrift2">
    <w:name w:val="heading 2"/>
    <w:basedOn w:val="Standard"/>
    <w:link w:val="berschrift2Zchn"/>
    <w:uiPriority w:val="9"/>
    <w:qFormat/>
    <w:rsid w:val="008A0B53"/>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8A0B53"/>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A0B53"/>
    <w:rPr>
      <w:color w:val="0000FF" w:themeColor="hyperlink"/>
      <w:u w:val="single"/>
    </w:rPr>
  </w:style>
  <w:style w:type="character" w:customStyle="1" w:styleId="berschrift2Zchn">
    <w:name w:val="Überschrift 2 Zchn"/>
    <w:basedOn w:val="Absatz-Standardschriftart"/>
    <w:link w:val="berschrift2"/>
    <w:uiPriority w:val="9"/>
    <w:rsid w:val="008A0B53"/>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8A0B53"/>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8A0B5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hinweistext">
    <w:name w:val="hinweistext"/>
    <w:basedOn w:val="Standard"/>
    <w:rsid w:val="008A0B5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r="http://schemas.openxmlformats.org/officeDocument/2006/relationships" xmlns:w="http://schemas.openxmlformats.org/wordprocessingml/2006/main">
  <w:divs>
    <w:div w:id="755639667">
      <w:bodyDiv w:val="1"/>
      <w:marLeft w:val="0"/>
      <w:marRight w:val="0"/>
      <w:marTop w:val="0"/>
      <w:marBottom w:val="0"/>
      <w:divBdr>
        <w:top w:val="none" w:sz="0" w:space="0" w:color="auto"/>
        <w:left w:val="none" w:sz="0" w:space="0" w:color="auto"/>
        <w:bottom w:val="none" w:sz="0" w:space="0" w:color="auto"/>
        <w:right w:val="none" w:sz="0" w:space="0" w:color="auto"/>
      </w:divBdr>
      <w:divsChild>
        <w:div w:id="1705246817">
          <w:marLeft w:val="0"/>
          <w:marRight w:val="0"/>
          <w:marTop w:val="0"/>
          <w:marBottom w:val="0"/>
          <w:divBdr>
            <w:top w:val="none" w:sz="0" w:space="0" w:color="auto"/>
            <w:left w:val="none" w:sz="0" w:space="0" w:color="auto"/>
            <w:bottom w:val="none" w:sz="0" w:space="0" w:color="auto"/>
            <w:right w:val="none" w:sz="0" w:space="0" w:color="auto"/>
          </w:divBdr>
        </w:div>
        <w:div w:id="1272321503">
          <w:marLeft w:val="0"/>
          <w:marRight w:val="0"/>
          <w:marTop w:val="0"/>
          <w:marBottom w:val="0"/>
          <w:divBdr>
            <w:top w:val="none" w:sz="0" w:space="0" w:color="auto"/>
            <w:left w:val="none" w:sz="0" w:space="0" w:color="auto"/>
            <w:bottom w:val="none" w:sz="0" w:space="0" w:color="auto"/>
            <w:right w:val="none" w:sz="0" w:space="0" w:color="auto"/>
          </w:divBdr>
          <w:divsChild>
            <w:div w:id="268053621">
              <w:marLeft w:val="0"/>
              <w:marRight w:val="0"/>
              <w:marTop w:val="0"/>
              <w:marBottom w:val="0"/>
              <w:divBdr>
                <w:top w:val="none" w:sz="0" w:space="0" w:color="auto"/>
                <w:left w:val="none" w:sz="0" w:space="0" w:color="auto"/>
                <w:bottom w:val="none" w:sz="0" w:space="0" w:color="auto"/>
                <w:right w:val="none" w:sz="0" w:space="0" w:color="auto"/>
              </w:divBdr>
            </w:div>
            <w:div w:id="45379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411058">
      <w:bodyDiv w:val="1"/>
      <w:marLeft w:val="0"/>
      <w:marRight w:val="0"/>
      <w:marTop w:val="0"/>
      <w:marBottom w:val="0"/>
      <w:divBdr>
        <w:top w:val="none" w:sz="0" w:space="0" w:color="auto"/>
        <w:left w:val="none" w:sz="0" w:space="0" w:color="auto"/>
        <w:bottom w:val="none" w:sz="0" w:space="0" w:color="auto"/>
        <w:right w:val="none" w:sz="0" w:space="0" w:color="auto"/>
      </w:divBdr>
      <w:divsChild>
        <w:div w:id="447506525">
          <w:marLeft w:val="0"/>
          <w:marRight w:val="0"/>
          <w:marTop w:val="0"/>
          <w:marBottom w:val="0"/>
          <w:divBdr>
            <w:top w:val="none" w:sz="0" w:space="0" w:color="auto"/>
            <w:left w:val="none" w:sz="0" w:space="0" w:color="auto"/>
            <w:bottom w:val="none" w:sz="0" w:space="0" w:color="auto"/>
            <w:right w:val="none" w:sz="0" w:space="0" w:color="auto"/>
          </w:divBdr>
        </w:div>
        <w:div w:id="1880386924">
          <w:marLeft w:val="0"/>
          <w:marRight w:val="0"/>
          <w:marTop w:val="0"/>
          <w:marBottom w:val="0"/>
          <w:divBdr>
            <w:top w:val="none" w:sz="0" w:space="0" w:color="auto"/>
            <w:left w:val="none" w:sz="0" w:space="0" w:color="auto"/>
            <w:bottom w:val="none" w:sz="0" w:space="0" w:color="auto"/>
            <w:right w:val="none" w:sz="0" w:space="0" w:color="auto"/>
          </w:divBdr>
        </w:div>
      </w:divsChild>
    </w:div>
    <w:div w:id="1686052815">
      <w:bodyDiv w:val="1"/>
      <w:marLeft w:val="0"/>
      <w:marRight w:val="0"/>
      <w:marTop w:val="0"/>
      <w:marBottom w:val="0"/>
      <w:divBdr>
        <w:top w:val="none" w:sz="0" w:space="0" w:color="auto"/>
        <w:left w:val="none" w:sz="0" w:space="0" w:color="auto"/>
        <w:bottom w:val="none" w:sz="0" w:space="0" w:color="auto"/>
        <w:right w:val="none" w:sz="0" w:space="0" w:color="auto"/>
      </w:divBdr>
      <w:divsChild>
        <w:div w:id="666202940">
          <w:marLeft w:val="0"/>
          <w:marRight w:val="0"/>
          <w:marTop w:val="0"/>
          <w:marBottom w:val="0"/>
          <w:divBdr>
            <w:top w:val="none" w:sz="0" w:space="0" w:color="auto"/>
            <w:left w:val="none" w:sz="0" w:space="0" w:color="auto"/>
            <w:bottom w:val="none" w:sz="0" w:space="0" w:color="auto"/>
            <w:right w:val="none" w:sz="0" w:space="0" w:color="auto"/>
          </w:divBdr>
        </w:div>
        <w:div w:id="1754280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ejure.org/gesetze/UStG/18.html" TargetMode="External"/><Relationship Id="rId18" Type="http://schemas.openxmlformats.org/officeDocument/2006/relationships/hyperlink" Target="https://dejure.org/gesetze/UStG/15.html" TargetMode="External"/><Relationship Id="rId26" Type="http://schemas.openxmlformats.org/officeDocument/2006/relationships/hyperlink" Target="https://dejure.org/gesetze/UStG/18.html" TargetMode="External"/><Relationship Id="rId39" Type="http://schemas.openxmlformats.org/officeDocument/2006/relationships/hyperlink" Target="https://dejure.org/gesetze/UStG/17.html" TargetMode="External"/><Relationship Id="rId21" Type="http://schemas.openxmlformats.org/officeDocument/2006/relationships/hyperlink" Target="https://dejure.org/gesetze/UStG/1a.html" TargetMode="External"/><Relationship Id="rId34" Type="http://schemas.openxmlformats.org/officeDocument/2006/relationships/hyperlink" Target="https://dejure.org/gesetze/UStG/3d.html" TargetMode="External"/><Relationship Id="rId42" Type="http://schemas.openxmlformats.org/officeDocument/2006/relationships/hyperlink" Target="https://dejure.org/gesetze/UStG/16.html" TargetMode="External"/><Relationship Id="rId47" Type="http://schemas.openxmlformats.org/officeDocument/2006/relationships/hyperlink" Target="https://dejure.org/gesetze/UStG/6a.html" TargetMode="External"/><Relationship Id="rId50" Type="http://schemas.openxmlformats.org/officeDocument/2006/relationships/hyperlink" Target="https://dejure.org/gesetze/UStG/16.html" TargetMode="External"/><Relationship Id="rId55" Type="http://schemas.openxmlformats.org/officeDocument/2006/relationships/hyperlink" Target="https://dejure.org/gesetze/UStG/3a.html" TargetMode="External"/><Relationship Id="rId63" Type="http://schemas.openxmlformats.org/officeDocument/2006/relationships/hyperlink" Target="https://dejure.org/gesetze/UStG/16.html" TargetMode="External"/><Relationship Id="rId68" Type="http://schemas.openxmlformats.org/officeDocument/2006/relationships/hyperlink" Target="https://dejure.org/gesetze/UStG/16.html" TargetMode="External"/><Relationship Id="rId76" Type="http://schemas.openxmlformats.org/officeDocument/2006/relationships/hyperlink" Target="https://dejure.org/gesetze/UStG/1b.html" TargetMode="External"/><Relationship Id="rId84" Type="http://schemas.openxmlformats.org/officeDocument/2006/relationships/hyperlink" Target="https://dejure.org/gesetze/UStG/1b.html" TargetMode="External"/><Relationship Id="rId89" Type="http://schemas.openxmlformats.org/officeDocument/2006/relationships/hyperlink" Target="https://dejure.org/dienste/internet?www.bgblportal.de/BGBL/bgbl1f/bgbl114s2417.pdf" TargetMode="External"/><Relationship Id="rId7" Type="http://schemas.openxmlformats.org/officeDocument/2006/relationships/hyperlink" Target="https://dejure.org/gesetze/UStG/22e.html" TargetMode="External"/><Relationship Id="rId71" Type="http://schemas.openxmlformats.org/officeDocument/2006/relationships/hyperlink" Target="https://dejure.org/gesetze/UStG/16.html" TargetMode="External"/><Relationship Id="rId2" Type="http://schemas.openxmlformats.org/officeDocument/2006/relationships/settings" Target="settings.xml"/><Relationship Id="rId16" Type="http://schemas.openxmlformats.org/officeDocument/2006/relationships/hyperlink" Target="https://dejure.org/gesetze/UStG/18.html" TargetMode="External"/><Relationship Id="rId29" Type="http://schemas.openxmlformats.org/officeDocument/2006/relationships/hyperlink" Target="https://dejure.org/dienste/internet?www.bgblportal.de/BGBL/bgbl1f/bgbl114s1266.pdf" TargetMode="External"/><Relationship Id="rId11" Type="http://schemas.openxmlformats.org/officeDocument/2006/relationships/hyperlink" Target="https://dejure.org/gesetze/UStG/14c.html" TargetMode="External"/><Relationship Id="rId24" Type="http://schemas.openxmlformats.org/officeDocument/2006/relationships/hyperlink" Target="https://dejure.org/gesetze/UStG/18.html" TargetMode="External"/><Relationship Id="rId32" Type="http://schemas.openxmlformats.org/officeDocument/2006/relationships/hyperlink" Target="https://dejure.org/gesetze/UStG/1.html" TargetMode="External"/><Relationship Id="rId37" Type="http://schemas.openxmlformats.org/officeDocument/2006/relationships/hyperlink" Target="https://dejure.org/gesetze/UStG/18.html" TargetMode="External"/><Relationship Id="rId40" Type="http://schemas.openxmlformats.org/officeDocument/2006/relationships/hyperlink" Target="https://dejure.org/gesetze/UStG/16.html" TargetMode="External"/><Relationship Id="rId45" Type="http://schemas.openxmlformats.org/officeDocument/2006/relationships/hyperlink" Target="https://dejure.org/gesetze/UStG/25b.html" TargetMode="External"/><Relationship Id="rId53" Type="http://schemas.openxmlformats.org/officeDocument/2006/relationships/hyperlink" Target="https://dejure.org/gesetze/UStG/3a.html" TargetMode="External"/><Relationship Id="rId58" Type="http://schemas.openxmlformats.org/officeDocument/2006/relationships/hyperlink" Target="https://dejure.org/gesetze/AO/150.html" TargetMode="External"/><Relationship Id="rId66" Type="http://schemas.openxmlformats.org/officeDocument/2006/relationships/hyperlink" Target="https://dejure.org/gesetze/UStG/16.html" TargetMode="External"/><Relationship Id="rId74" Type="http://schemas.openxmlformats.org/officeDocument/2006/relationships/hyperlink" Target="https://dejure.org/gesetze/UStG/3a.html" TargetMode="External"/><Relationship Id="rId79" Type="http://schemas.openxmlformats.org/officeDocument/2006/relationships/hyperlink" Target="https://dejure.org/gesetze/UStG/1b.html" TargetMode="External"/><Relationship Id="rId87" Type="http://schemas.openxmlformats.org/officeDocument/2006/relationships/hyperlink" Target="https://dejure.org/gesetze/UStG/3b.html" TargetMode="External"/><Relationship Id="rId5" Type="http://schemas.openxmlformats.org/officeDocument/2006/relationships/hyperlink" Target="https://dejure.org/gesetze/UStG" TargetMode="External"/><Relationship Id="rId61" Type="http://schemas.openxmlformats.org/officeDocument/2006/relationships/hyperlink" Target="https://dejure.org/gesetze/UStG/16.html" TargetMode="External"/><Relationship Id="rId82" Type="http://schemas.openxmlformats.org/officeDocument/2006/relationships/hyperlink" Target="https://dejure.org/gesetze/AO/21.html" TargetMode="External"/><Relationship Id="rId90" Type="http://schemas.openxmlformats.org/officeDocument/2006/relationships/fontTable" Target="fontTable.xml"/><Relationship Id="rId19" Type="http://schemas.openxmlformats.org/officeDocument/2006/relationships/hyperlink" Target="https://dejure.org/gesetze/UStG/15a.html" TargetMode="External"/><Relationship Id="rId14" Type="http://schemas.openxmlformats.org/officeDocument/2006/relationships/hyperlink" Target="https://dejure.org/gesetze/UStG/3a.html" TargetMode="External"/><Relationship Id="rId22" Type="http://schemas.openxmlformats.org/officeDocument/2006/relationships/hyperlink" Target="https://dejure.org/gesetze/UStG/13.html" TargetMode="External"/><Relationship Id="rId27" Type="http://schemas.openxmlformats.org/officeDocument/2006/relationships/hyperlink" Target="https://dejure.org/gesetze/UStG/11.html" TargetMode="External"/><Relationship Id="rId30" Type="http://schemas.openxmlformats.org/officeDocument/2006/relationships/hyperlink" Target="https://dejure.org/gesetze/UStG/17.html" TargetMode="External"/><Relationship Id="rId35" Type="http://schemas.openxmlformats.org/officeDocument/2006/relationships/hyperlink" Target="https://dejure.org/gesetze/UStG/15.html" TargetMode="External"/><Relationship Id="rId43" Type="http://schemas.openxmlformats.org/officeDocument/2006/relationships/hyperlink" Target="https://dejure.org/gesetze/UStG/1.html" TargetMode="External"/><Relationship Id="rId48" Type="http://schemas.openxmlformats.org/officeDocument/2006/relationships/hyperlink" Target="https://dejure.org/gesetze/UStG/14c.html" TargetMode="External"/><Relationship Id="rId56" Type="http://schemas.openxmlformats.org/officeDocument/2006/relationships/hyperlink" Target="https://dejure.org/gesetze/UStG/16.html" TargetMode="External"/><Relationship Id="rId64" Type="http://schemas.openxmlformats.org/officeDocument/2006/relationships/hyperlink" Target="https://dejure.org/gesetze/UStG/16.html" TargetMode="External"/><Relationship Id="rId69" Type="http://schemas.openxmlformats.org/officeDocument/2006/relationships/hyperlink" Target="https://dejure.org/gesetze/UStG/15.html" TargetMode="External"/><Relationship Id="rId77" Type="http://schemas.openxmlformats.org/officeDocument/2006/relationships/hyperlink" Target="https://dejure.org/gesetze/AO/21.html" TargetMode="External"/><Relationship Id="rId8" Type="http://schemas.openxmlformats.org/officeDocument/2006/relationships/hyperlink" Target="https://dejure.org/gesetze/UStG/20.html" TargetMode="External"/><Relationship Id="rId51" Type="http://schemas.openxmlformats.org/officeDocument/2006/relationships/hyperlink" Target="https://dejure.org/gesetze/UStG/3a.html" TargetMode="External"/><Relationship Id="rId72" Type="http://schemas.openxmlformats.org/officeDocument/2006/relationships/hyperlink" Target="https://dejure.org/gesetze/UStG/3a.html" TargetMode="External"/><Relationship Id="rId80" Type="http://schemas.openxmlformats.org/officeDocument/2006/relationships/hyperlink" Target="https://dejure.org/gesetze/UStG/1b.html" TargetMode="External"/><Relationship Id="rId85" Type="http://schemas.openxmlformats.org/officeDocument/2006/relationships/hyperlink" Target="https://dejure.org/gesetze/UStG/1b.html" TargetMode="External"/><Relationship Id="rId3" Type="http://schemas.openxmlformats.org/officeDocument/2006/relationships/webSettings" Target="webSettings.xml"/><Relationship Id="rId12" Type="http://schemas.openxmlformats.org/officeDocument/2006/relationships/hyperlink" Target="https://dejure.org/gesetze/UStG/17.html" TargetMode="External"/><Relationship Id="rId17" Type="http://schemas.openxmlformats.org/officeDocument/2006/relationships/hyperlink" Target="https://dejure.org/gesetze/UStG/3a.html" TargetMode="External"/><Relationship Id="rId25" Type="http://schemas.openxmlformats.org/officeDocument/2006/relationships/hyperlink" Target="https://dejure.org/gesetze/UStG/13b.html" TargetMode="External"/><Relationship Id="rId33" Type="http://schemas.openxmlformats.org/officeDocument/2006/relationships/hyperlink" Target="https://dejure.org/gesetze/UStG/13b.html" TargetMode="External"/><Relationship Id="rId38" Type="http://schemas.openxmlformats.org/officeDocument/2006/relationships/hyperlink" Target="https://dejure.org/gesetze/UStG/16.html" TargetMode="External"/><Relationship Id="rId46" Type="http://schemas.openxmlformats.org/officeDocument/2006/relationships/hyperlink" Target="https://dejure.org/gesetze/UStG/2a.html" TargetMode="External"/><Relationship Id="rId59" Type="http://schemas.openxmlformats.org/officeDocument/2006/relationships/hyperlink" Target="https://dejure.org/gesetze/AO/168.html" TargetMode="External"/><Relationship Id="rId67" Type="http://schemas.openxmlformats.org/officeDocument/2006/relationships/hyperlink" Target="https://dejure.org/gesetze/UStG/16.html" TargetMode="External"/><Relationship Id="rId20" Type="http://schemas.openxmlformats.org/officeDocument/2006/relationships/hyperlink" Target="https://dejure.org/gesetze/UStG/19.html" TargetMode="External"/><Relationship Id="rId41" Type="http://schemas.openxmlformats.org/officeDocument/2006/relationships/hyperlink" Target="https://dejure.org/gesetze/UStG/17.html" TargetMode="External"/><Relationship Id="rId54" Type="http://schemas.openxmlformats.org/officeDocument/2006/relationships/hyperlink" Target="https://dejure.org/gesetze/UStG/13b.html" TargetMode="External"/><Relationship Id="rId62" Type="http://schemas.openxmlformats.org/officeDocument/2006/relationships/hyperlink" Target="https://dejure.org/gesetze/AO/240.html" TargetMode="External"/><Relationship Id="rId70" Type="http://schemas.openxmlformats.org/officeDocument/2006/relationships/hyperlink" Target="https://dejure.org/gesetze/UStG/16.html" TargetMode="External"/><Relationship Id="rId75" Type="http://schemas.openxmlformats.org/officeDocument/2006/relationships/hyperlink" Target="https://dejure.org/gesetze/UStG/1b.html" TargetMode="External"/><Relationship Id="rId83" Type="http://schemas.openxmlformats.org/officeDocument/2006/relationships/hyperlink" Target="https://dejure.org/gesetze/UStG/1a.html" TargetMode="External"/><Relationship Id="rId88" Type="http://schemas.openxmlformats.org/officeDocument/2006/relationships/hyperlink" Target="https://dejure.org/gesetze/UStG/16.html" TargetMode="External"/><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ejure.org/gesetze/UStG/16.html" TargetMode="External"/><Relationship Id="rId15" Type="http://schemas.openxmlformats.org/officeDocument/2006/relationships/hyperlink" Target="https://dejure.org/gesetze/UStG/13b.html" TargetMode="External"/><Relationship Id="rId23" Type="http://schemas.openxmlformats.org/officeDocument/2006/relationships/hyperlink" Target="https://dejure.org/gesetze/UStG/20.html" TargetMode="External"/><Relationship Id="rId28" Type="http://schemas.openxmlformats.org/officeDocument/2006/relationships/hyperlink" Target="https://dejure.org/gesetze/UStG/21.html" TargetMode="External"/><Relationship Id="rId36" Type="http://schemas.openxmlformats.org/officeDocument/2006/relationships/hyperlink" Target="https://dejure.org/dienste/internet?www.bgblportal.de/BGBL/bgbl1f/bgbl108s2794.pdf" TargetMode="External"/><Relationship Id="rId49" Type="http://schemas.openxmlformats.org/officeDocument/2006/relationships/hyperlink" Target="https://dejure.org/gesetze/UStG/3a.html" TargetMode="External"/><Relationship Id="rId57" Type="http://schemas.openxmlformats.org/officeDocument/2006/relationships/hyperlink" Target="https://dejure.org/gesetze/UStG/1.html" TargetMode="External"/><Relationship Id="rId10" Type="http://schemas.openxmlformats.org/officeDocument/2006/relationships/hyperlink" Target="https://dejure.org/gesetze/UStG/6a.html" TargetMode="External"/><Relationship Id="rId31" Type="http://schemas.openxmlformats.org/officeDocument/2006/relationships/hyperlink" Target="https://dejure.org/gesetze/UStG/1.html" TargetMode="External"/><Relationship Id="rId44" Type="http://schemas.openxmlformats.org/officeDocument/2006/relationships/hyperlink" Target="https://dejure.org/gesetze/UStG/13b.html" TargetMode="External"/><Relationship Id="rId52" Type="http://schemas.openxmlformats.org/officeDocument/2006/relationships/hyperlink" Target="https://dejure.org/gesetze/UStG/16.html" TargetMode="External"/><Relationship Id="rId60" Type="http://schemas.openxmlformats.org/officeDocument/2006/relationships/hyperlink" Target="https://dejure.org/gesetze/UStG/16.html" TargetMode="External"/><Relationship Id="rId65" Type="http://schemas.openxmlformats.org/officeDocument/2006/relationships/hyperlink" Target="https://dejure.org/gesetze/UStG/10.html" TargetMode="External"/><Relationship Id="rId73" Type="http://schemas.openxmlformats.org/officeDocument/2006/relationships/hyperlink" Target="https://dejure.org/gesetze/UStG/18.html" TargetMode="External"/><Relationship Id="rId78" Type="http://schemas.openxmlformats.org/officeDocument/2006/relationships/hyperlink" Target="https://dejure.org/gesetze/UStG/1a.html" TargetMode="External"/><Relationship Id="rId81" Type="http://schemas.openxmlformats.org/officeDocument/2006/relationships/hyperlink" Target="https://dejure.org/gesetze/UStG/1b.html" TargetMode="External"/><Relationship Id="rId86" Type="http://schemas.openxmlformats.org/officeDocument/2006/relationships/hyperlink" Target="https://dejure.org/gesetze/UStG/13b.html" TargetMode="External"/><Relationship Id="rId4" Type="http://schemas.openxmlformats.org/officeDocument/2006/relationships/hyperlink" Target="https://dejure.org/gesetze/UStG/16.html" TargetMode="External"/><Relationship Id="rId9" Type="http://schemas.openxmlformats.org/officeDocument/2006/relationships/hyperlink" Target="https://dejure.org/gesetze/UStG/1.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4770</Words>
  <Characters>30051</Characters>
  <Application>Microsoft Office Word</Application>
  <DocSecurity>0</DocSecurity>
  <Lines>250</Lines>
  <Paragraphs>69</Paragraphs>
  <ScaleCrop>false</ScaleCrop>
  <Company/>
  <LinksUpToDate>false</LinksUpToDate>
  <CharactersWithSpaces>34752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Mue7</dc:creator>
  <cp:lastModifiedBy>Mue7</cp:lastModifiedBy>
  <cp:revision>2</cp:revision>
  <dcterms:created xsi:type="dcterms:W3CDTF">2016-01-14T11:27:00Z</dcterms:created>
  <dcterms:modified xsi:type="dcterms:W3CDTF">2016-01-14T11:32:00Z</dcterms:modified>
</cp:coreProperties>
</file>