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D2" w:rsidRDefault="00165BEA">
      <w:r>
        <w:fldChar w:fldCharType="begin"/>
      </w:r>
      <w:r>
        <w:instrText xml:space="preserve"> HYPERLINK "</w:instrText>
      </w:r>
      <w:r w:rsidRPr="00165BEA">
        <w:instrText>http://www.gesetze-im-internet.de/estg/__15.html</w:instrText>
      </w:r>
      <w:r>
        <w:instrText xml:space="preserve">" </w:instrText>
      </w:r>
      <w:r>
        <w:fldChar w:fldCharType="separate"/>
      </w:r>
      <w:r w:rsidRPr="00A82258">
        <w:rPr>
          <w:rStyle w:val="Hyperlink"/>
        </w:rPr>
        <w:t>http://www.gesetze-im-internet.de/estg/__15.html</w:t>
      </w:r>
      <w:r>
        <w:fldChar w:fldCharType="end"/>
      </w:r>
    </w:p>
    <w:p w:rsidR="00165BEA" w:rsidRPr="00165BEA" w:rsidRDefault="00165BEA" w:rsidP="00165BEA">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165BEA">
        <w:rPr>
          <w:rFonts w:ascii="Times New Roman" w:eastAsia="Times New Roman" w:hAnsi="Times New Roman" w:cs="Times New Roman"/>
          <w:b/>
          <w:bCs/>
          <w:kern w:val="36"/>
          <w:sz w:val="48"/>
          <w:szCs w:val="48"/>
          <w:lang w:eastAsia="de-DE"/>
        </w:rPr>
        <w:t>Einkommensteuergesetz (EStG)</w:t>
      </w:r>
      <w:r w:rsidRPr="00165BEA">
        <w:rPr>
          <w:rFonts w:ascii="Times New Roman" w:eastAsia="Times New Roman" w:hAnsi="Times New Roman" w:cs="Times New Roman"/>
          <w:b/>
          <w:bCs/>
          <w:kern w:val="36"/>
          <w:sz w:val="48"/>
          <w:szCs w:val="48"/>
          <w:lang w:eastAsia="de-DE"/>
        </w:rPr>
        <w:br/>
        <w:t>§ 15 Einkünfte aus Gewerbebetrieb</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 xml:space="preserve">(1) </w:t>
      </w:r>
      <w:r w:rsidRPr="00165BEA">
        <w:rPr>
          <w:rFonts w:ascii="Times New Roman" w:eastAsia="Times New Roman" w:hAnsi="Times New Roman" w:cs="Times New Roman"/>
          <w:sz w:val="24"/>
          <w:szCs w:val="24"/>
          <w:vertAlign w:val="superscript"/>
          <w:lang w:eastAsia="de-DE"/>
        </w:rPr>
        <w:t>1</w:t>
      </w:r>
      <w:r w:rsidRPr="00165BEA">
        <w:rPr>
          <w:rFonts w:ascii="Times New Roman" w:eastAsia="Times New Roman" w:hAnsi="Times New Roman" w:cs="Times New Roman"/>
          <w:sz w:val="24"/>
          <w:szCs w:val="24"/>
          <w:lang w:eastAsia="de-DE"/>
        </w:rPr>
        <w:t xml:space="preserve">Einkünfte aus Gewerbebetrieb sind </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1.</w:t>
      </w:r>
    </w:p>
    <w:p w:rsidR="00165BEA" w:rsidRPr="00165BEA" w:rsidRDefault="00165BEA" w:rsidP="00165BEA">
      <w:pPr>
        <w:spacing w:after="0" w:line="240" w:lineRule="auto"/>
        <w:ind w:left="720"/>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 xml:space="preserve">Einkünfte aus gewerblichen Unternehmen. </w:t>
      </w:r>
      <w:r w:rsidRPr="00165BEA">
        <w:rPr>
          <w:rFonts w:ascii="Times New Roman" w:eastAsia="Times New Roman" w:hAnsi="Times New Roman" w:cs="Times New Roman"/>
          <w:sz w:val="24"/>
          <w:szCs w:val="24"/>
          <w:vertAlign w:val="superscript"/>
          <w:lang w:eastAsia="de-DE"/>
        </w:rPr>
        <w:t>2</w:t>
      </w:r>
      <w:r w:rsidRPr="00165BEA">
        <w:rPr>
          <w:rFonts w:ascii="Times New Roman" w:eastAsia="Times New Roman" w:hAnsi="Times New Roman" w:cs="Times New Roman"/>
          <w:sz w:val="24"/>
          <w:szCs w:val="24"/>
          <w:lang w:eastAsia="de-DE"/>
        </w:rPr>
        <w:t xml:space="preserve">Dazu gehören auch Einkünfte aus gewerblicher Bodenbewirtschaftung, z. B. aus Bergbauunternehmen und aus Betrieben zur Gewinnung von Torf, Steinen und Erden, soweit sie nicht </w:t>
      </w:r>
      <w:proofErr w:type="spellStart"/>
      <w:r w:rsidRPr="00165BEA">
        <w:rPr>
          <w:rFonts w:ascii="Times New Roman" w:eastAsia="Times New Roman" w:hAnsi="Times New Roman" w:cs="Times New Roman"/>
          <w:sz w:val="24"/>
          <w:szCs w:val="24"/>
          <w:lang w:eastAsia="de-DE"/>
        </w:rPr>
        <w:t>land</w:t>
      </w:r>
      <w:proofErr w:type="spellEnd"/>
      <w:r w:rsidRPr="00165BEA">
        <w:rPr>
          <w:rFonts w:ascii="Times New Roman" w:eastAsia="Times New Roman" w:hAnsi="Times New Roman" w:cs="Times New Roman"/>
          <w:sz w:val="24"/>
          <w:szCs w:val="24"/>
          <w:lang w:eastAsia="de-DE"/>
        </w:rPr>
        <w:t>- oder forstwirtschaftliche Nebenbetriebe sind;</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2.</w:t>
      </w:r>
    </w:p>
    <w:p w:rsidR="00165BEA" w:rsidRPr="00165BEA" w:rsidRDefault="00165BEA" w:rsidP="00165BEA">
      <w:pPr>
        <w:spacing w:after="0" w:line="240" w:lineRule="auto"/>
        <w:ind w:left="720"/>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 xml:space="preserve">die Gewinnanteile der Gesellschafter einer Offenen Handelsgesellschaft, einer Kommanditgesellschaft und einer anderen Gesellschaft, bei der der Gesellschafter als Unternehmer (Mitunternehmer) des Betriebs anzusehen ist, und die Vergütungen, die der Gesellschafter von der Gesellschaft für seine Tätigkeit im Dienst der Gesellschaft oder für die Hingabe von Darlehen oder für die Überlassung von Wirtschaftsgütern bezogen hat. </w:t>
      </w:r>
      <w:r w:rsidRPr="00165BEA">
        <w:rPr>
          <w:rFonts w:ascii="Times New Roman" w:eastAsia="Times New Roman" w:hAnsi="Times New Roman" w:cs="Times New Roman"/>
          <w:sz w:val="24"/>
          <w:szCs w:val="24"/>
          <w:vertAlign w:val="superscript"/>
          <w:lang w:eastAsia="de-DE"/>
        </w:rPr>
        <w:t>2</w:t>
      </w:r>
      <w:r w:rsidRPr="00165BEA">
        <w:rPr>
          <w:rFonts w:ascii="Times New Roman" w:eastAsia="Times New Roman" w:hAnsi="Times New Roman" w:cs="Times New Roman"/>
          <w:sz w:val="24"/>
          <w:szCs w:val="24"/>
          <w:lang w:eastAsia="de-DE"/>
        </w:rPr>
        <w:t>Der mittelbar über eine oder mehrere Personengesellschaften beteiligte Gesellschafter steht dem unmittelbar beteiligten Gesellschafter gleich; er ist als Mitunternehmer des Betriebs der Gesellschaft anzusehen, an der er mittelbar beteiligt ist, wenn er und die Personengesellschaften, die seine Beteiligung vermitteln, jeweils als Mitunternehmer der Betriebe der Personengesellschaften anzusehen sind, an denen sie unmittelbar beteiligt sind;</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3.</w:t>
      </w:r>
    </w:p>
    <w:p w:rsidR="00165BEA" w:rsidRPr="00165BEA" w:rsidRDefault="00165BEA" w:rsidP="00165BEA">
      <w:pPr>
        <w:spacing w:after="0" w:line="240" w:lineRule="auto"/>
        <w:ind w:left="720"/>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die Gewinnanteile der persönlich haftenden Gesellschafter einer Kommanditgesellschaft auf Aktien, soweit sie nicht auf Anteile am Grundkapital entfallen, und die Vergütungen, die der persönlich haftende Gesellschafter von der Gesellschaft für seine Tätigkeit im Dienst der Gesellschaft oder für die Hingabe von Darlehen oder für die Überlassung von Wirtschaftsgütern bezogen hat.</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vertAlign w:val="superscript"/>
          <w:lang w:eastAsia="de-DE"/>
        </w:rPr>
        <w:t>2</w:t>
      </w:r>
      <w:r w:rsidRPr="00165BEA">
        <w:rPr>
          <w:rFonts w:ascii="Times New Roman" w:eastAsia="Times New Roman" w:hAnsi="Times New Roman" w:cs="Times New Roman"/>
          <w:sz w:val="24"/>
          <w:szCs w:val="24"/>
          <w:lang w:eastAsia="de-DE"/>
        </w:rPr>
        <w:t xml:space="preserve">Satz 1 Nummer 2 und 3 gilt auch für Vergütungen, die als nachträgliche Einkünfte (§ 24 Nummer 2) bezogen werden. </w:t>
      </w:r>
      <w:r w:rsidRPr="00165BEA">
        <w:rPr>
          <w:rFonts w:ascii="Times New Roman" w:eastAsia="Times New Roman" w:hAnsi="Times New Roman" w:cs="Times New Roman"/>
          <w:sz w:val="24"/>
          <w:szCs w:val="24"/>
          <w:vertAlign w:val="superscript"/>
          <w:lang w:eastAsia="de-DE"/>
        </w:rPr>
        <w:t>3</w:t>
      </w:r>
      <w:r w:rsidRPr="00165BEA">
        <w:rPr>
          <w:rFonts w:ascii="Times New Roman" w:eastAsia="Times New Roman" w:hAnsi="Times New Roman" w:cs="Times New Roman"/>
          <w:sz w:val="24"/>
          <w:szCs w:val="24"/>
          <w:lang w:eastAsia="de-DE"/>
        </w:rPr>
        <w:t>§ 13 Absatz 5 gilt entsprechend, sofern das Grundstück im Veranlagungszeitraum 1986 zu einem gewerblichen Betriebsvermögen gehört hat.</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 xml:space="preserve">(1a) </w:t>
      </w:r>
      <w:r w:rsidRPr="00165BEA">
        <w:rPr>
          <w:rFonts w:ascii="Times New Roman" w:eastAsia="Times New Roman" w:hAnsi="Times New Roman" w:cs="Times New Roman"/>
          <w:sz w:val="24"/>
          <w:szCs w:val="24"/>
          <w:vertAlign w:val="superscript"/>
          <w:lang w:eastAsia="de-DE"/>
        </w:rPr>
        <w:t>1</w:t>
      </w:r>
      <w:r w:rsidRPr="00165BEA">
        <w:rPr>
          <w:rFonts w:ascii="Times New Roman" w:eastAsia="Times New Roman" w:hAnsi="Times New Roman" w:cs="Times New Roman"/>
          <w:sz w:val="24"/>
          <w:szCs w:val="24"/>
          <w:lang w:eastAsia="de-DE"/>
        </w:rPr>
        <w:t xml:space="preserve">In den Fällen des § 4 Absatz 1 Satz 5 ist der Gewinn aus einer späteren Veräußerung der Anteile ungeachtet der Bestimmungen eines Abkommens zur Vermeidung der Doppelbesteuerung in der gleichen Art und Weise zu besteuern, wie die Veräußerung dieser Anteile an der Europäischen Gesellschaft oder Europäischen Genossenschaft zu besteuern gewesen wäre, wenn keine Sitzverlegung stattgefunden hätte. </w:t>
      </w:r>
      <w:r w:rsidRPr="00165BEA">
        <w:rPr>
          <w:rFonts w:ascii="Times New Roman" w:eastAsia="Times New Roman" w:hAnsi="Times New Roman" w:cs="Times New Roman"/>
          <w:sz w:val="24"/>
          <w:szCs w:val="24"/>
          <w:vertAlign w:val="superscript"/>
          <w:lang w:eastAsia="de-DE"/>
        </w:rPr>
        <w:t>2</w:t>
      </w:r>
      <w:r w:rsidRPr="00165BEA">
        <w:rPr>
          <w:rFonts w:ascii="Times New Roman" w:eastAsia="Times New Roman" w:hAnsi="Times New Roman" w:cs="Times New Roman"/>
          <w:sz w:val="24"/>
          <w:szCs w:val="24"/>
          <w:lang w:eastAsia="de-DE"/>
        </w:rPr>
        <w:t>Dies gilt auch, wenn später die Anteile verdeckt in eine Kapitalgesellschaft eingelegt werden, die Europäische Gesellschaft oder Europäische Genossenschaft aufgelöst wird oder wenn ihr Kapital herabgesetzt und zurückgezahlt wird oder wenn Beträge aus dem steuerlichen Einlagenkonto im Sinne des § 27 des Körperschaftsteuergesetzes ausgeschüttet oder zurückgezahlt werden.</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 xml:space="preserve">(2) </w:t>
      </w:r>
      <w:r w:rsidRPr="00165BEA">
        <w:rPr>
          <w:rFonts w:ascii="Times New Roman" w:eastAsia="Times New Roman" w:hAnsi="Times New Roman" w:cs="Times New Roman"/>
          <w:sz w:val="24"/>
          <w:szCs w:val="24"/>
          <w:vertAlign w:val="superscript"/>
          <w:lang w:eastAsia="de-DE"/>
        </w:rPr>
        <w:t>1</w:t>
      </w:r>
      <w:r w:rsidRPr="00165BEA">
        <w:rPr>
          <w:rFonts w:ascii="Times New Roman" w:eastAsia="Times New Roman" w:hAnsi="Times New Roman" w:cs="Times New Roman"/>
          <w:sz w:val="24"/>
          <w:szCs w:val="24"/>
          <w:lang w:eastAsia="de-DE"/>
        </w:rPr>
        <w:t xml:space="preserve">Eine selbständige nachhaltige Betätigung, die mit der Absicht, Gewinn zu erzielen, unternommen wird und sich als Beteiligung am allgemeinen wirtschaftlichen Verkehr darstellt, ist Gewerbebetrieb, wenn die Betätigung weder als Ausübung von Land- und Forstwirtschaft noch als Ausübung eines freien Berufs noch als eine andere selbständige Arbeit anzusehen ist. </w:t>
      </w:r>
      <w:r w:rsidRPr="00165BEA">
        <w:rPr>
          <w:rFonts w:ascii="Times New Roman" w:eastAsia="Times New Roman" w:hAnsi="Times New Roman" w:cs="Times New Roman"/>
          <w:sz w:val="24"/>
          <w:szCs w:val="24"/>
          <w:vertAlign w:val="superscript"/>
          <w:lang w:eastAsia="de-DE"/>
        </w:rPr>
        <w:t>2</w:t>
      </w:r>
      <w:r w:rsidRPr="00165BEA">
        <w:rPr>
          <w:rFonts w:ascii="Times New Roman" w:eastAsia="Times New Roman" w:hAnsi="Times New Roman" w:cs="Times New Roman"/>
          <w:sz w:val="24"/>
          <w:szCs w:val="24"/>
          <w:lang w:eastAsia="de-DE"/>
        </w:rPr>
        <w:t xml:space="preserve">Eine durch die Betätigung verursachte Minderung der Steuern vom Einkommen ist kein Gewinn im Sinne des Satzes 1. </w:t>
      </w:r>
      <w:r w:rsidRPr="00165BEA">
        <w:rPr>
          <w:rFonts w:ascii="Times New Roman" w:eastAsia="Times New Roman" w:hAnsi="Times New Roman" w:cs="Times New Roman"/>
          <w:sz w:val="24"/>
          <w:szCs w:val="24"/>
          <w:vertAlign w:val="superscript"/>
          <w:lang w:eastAsia="de-DE"/>
        </w:rPr>
        <w:t>3</w:t>
      </w:r>
      <w:r w:rsidRPr="00165BEA">
        <w:rPr>
          <w:rFonts w:ascii="Times New Roman" w:eastAsia="Times New Roman" w:hAnsi="Times New Roman" w:cs="Times New Roman"/>
          <w:sz w:val="24"/>
          <w:szCs w:val="24"/>
          <w:lang w:eastAsia="de-DE"/>
        </w:rPr>
        <w:t>Ein Gewerbebetrieb liegt, wenn seine Voraussetzungen im Übrigen gegeben sind, auch dann vor, wenn die Gewinnerzielungsabsicht nur ein Nebenzweck ist.</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highlight w:val="yellow"/>
          <w:lang w:eastAsia="de-DE"/>
        </w:rPr>
        <w:lastRenderedPageBreak/>
        <w:t xml:space="preserve">(3) Als Gewerbebetrieb gilt in vollem Umfang die mit </w:t>
      </w:r>
      <w:proofErr w:type="spellStart"/>
      <w:r w:rsidRPr="00165BEA">
        <w:rPr>
          <w:rFonts w:ascii="Times New Roman" w:eastAsia="Times New Roman" w:hAnsi="Times New Roman" w:cs="Times New Roman"/>
          <w:sz w:val="24"/>
          <w:szCs w:val="24"/>
          <w:highlight w:val="yellow"/>
          <w:lang w:eastAsia="de-DE"/>
        </w:rPr>
        <w:t>Einkünfteerzielungsabsicht</w:t>
      </w:r>
      <w:proofErr w:type="spellEnd"/>
      <w:r w:rsidRPr="00165BEA">
        <w:rPr>
          <w:rFonts w:ascii="Times New Roman" w:eastAsia="Times New Roman" w:hAnsi="Times New Roman" w:cs="Times New Roman"/>
          <w:sz w:val="24"/>
          <w:szCs w:val="24"/>
          <w:highlight w:val="yellow"/>
          <w:lang w:eastAsia="de-DE"/>
        </w:rPr>
        <w:t xml:space="preserve"> unternommene Tätigkeit</w:t>
      </w:r>
      <w:r w:rsidRPr="00165BEA">
        <w:rPr>
          <w:rFonts w:ascii="Times New Roman" w:eastAsia="Times New Roman" w:hAnsi="Times New Roman" w:cs="Times New Roman"/>
          <w:sz w:val="24"/>
          <w:szCs w:val="24"/>
          <w:lang w:eastAsia="de-DE"/>
        </w:rPr>
        <w:t xml:space="preserve"> </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1.</w:t>
      </w:r>
    </w:p>
    <w:p w:rsidR="00165BEA" w:rsidRPr="00165BEA" w:rsidRDefault="00165BEA" w:rsidP="00165BEA">
      <w:pPr>
        <w:spacing w:after="0" w:line="240" w:lineRule="auto"/>
        <w:ind w:left="720"/>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einer offenen Handelsgesellschaft, einer Kommanditgesellschaft oder einer anderen Personengesellschaft, wenn die Gesellschaft auch eine Tätigkeit im Sinne des Absatzes 1 Nummer 1 ausübt oder gewerbliche Einkünfte im Sinne des Absatzes 1 Satz 1 Nummer 2 bezieht,</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2.</w:t>
      </w:r>
    </w:p>
    <w:p w:rsidR="00165BEA" w:rsidRPr="00165BEA" w:rsidRDefault="00165BEA" w:rsidP="00165BEA">
      <w:pPr>
        <w:spacing w:after="0" w:line="240" w:lineRule="auto"/>
        <w:ind w:left="720"/>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 xml:space="preserve">einer Personengesellschaft, die keine Tätigkeit im Sinne des Absatzes 1 Satz 1 Nummer 1 ausübt und bei der ausschließlich eine oder mehrere Kapitalgesellschaften persönlich haftende Gesellschafter sind und nur diese oder Personen, die nicht Gesellschafter sind, zur Geschäftsführung befugt sind (gewerblich geprägte Personengesellschaft). </w:t>
      </w:r>
      <w:r w:rsidRPr="00165BEA">
        <w:rPr>
          <w:rFonts w:ascii="Times New Roman" w:eastAsia="Times New Roman" w:hAnsi="Times New Roman" w:cs="Times New Roman"/>
          <w:sz w:val="24"/>
          <w:szCs w:val="24"/>
          <w:vertAlign w:val="superscript"/>
          <w:lang w:eastAsia="de-DE"/>
        </w:rPr>
        <w:t>2</w:t>
      </w:r>
      <w:r w:rsidRPr="00165BEA">
        <w:rPr>
          <w:rFonts w:ascii="Times New Roman" w:eastAsia="Times New Roman" w:hAnsi="Times New Roman" w:cs="Times New Roman"/>
          <w:sz w:val="24"/>
          <w:szCs w:val="24"/>
          <w:lang w:eastAsia="de-DE"/>
        </w:rPr>
        <w:t>Ist eine gewerblich geprägte Personengesellschaft als persönlich haftender Gesellschafter an einer anderen Personengesellschaft beteiligt, so steht für die Beurteilung, ob die Tätigkeit dieser Personengesellschaft als Gewerbebetrieb gilt, die gewerblich geprägte Personengesellschaft einer Kapitalgesellschaft gleich.</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 xml:space="preserve">(4) </w:t>
      </w:r>
      <w:r w:rsidRPr="00165BEA">
        <w:rPr>
          <w:rFonts w:ascii="Times New Roman" w:eastAsia="Times New Roman" w:hAnsi="Times New Roman" w:cs="Times New Roman"/>
          <w:sz w:val="24"/>
          <w:szCs w:val="24"/>
          <w:vertAlign w:val="superscript"/>
          <w:lang w:eastAsia="de-DE"/>
        </w:rPr>
        <w:t>1</w:t>
      </w:r>
      <w:r w:rsidRPr="00165BEA">
        <w:rPr>
          <w:rFonts w:ascii="Times New Roman" w:eastAsia="Times New Roman" w:hAnsi="Times New Roman" w:cs="Times New Roman"/>
          <w:sz w:val="24"/>
          <w:szCs w:val="24"/>
          <w:lang w:eastAsia="de-DE"/>
        </w:rPr>
        <w:t xml:space="preserve">Verluste aus gewerblicher Tierzucht oder gewerblicher Tierhaltung dürfen weder mit anderen Einkünften aus Gewerbebetrieb noch mit Einkünften aus anderen Einkunftsarten ausgeglichen werden; sie dürfen auch nicht nach § 10d abgezogen werden. </w:t>
      </w:r>
      <w:r w:rsidRPr="00165BEA">
        <w:rPr>
          <w:rFonts w:ascii="Times New Roman" w:eastAsia="Times New Roman" w:hAnsi="Times New Roman" w:cs="Times New Roman"/>
          <w:sz w:val="24"/>
          <w:szCs w:val="24"/>
          <w:vertAlign w:val="superscript"/>
          <w:lang w:eastAsia="de-DE"/>
        </w:rPr>
        <w:t>2</w:t>
      </w:r>
      <w:r w:rsidRPr="00165BEA">
        <w:rPr>
          <w:rFonts w:ascii="Times New Roman" w:eastAsia="Times New Roman" w:hAnsi="Times New Roman" w:cs="Times New Roman"/>
          <w:sz w:val="24"/>
          <w:szCs w:val="24"/>
          <w:lang w:eastAsia="de-DE"/>
        </w:rPr>
        <w:t xml:space="preserve">Die Verluste mindern jedoch nach Maßgabe des § 10d die Gewinne, die der Steuerpflichtige in dem unmittelbar vorangegangenen und in den folgenden Wirtschaftsjahren aus gewerblicher Tierzucht oder gewerblicher Tierhaltung erzielt hat oder erzielt; § 10d Absatz 4 gilt entsprechend. </w:t>
      </w:r>
      <w:r w:rsidRPr="00165BEA">
        <w:rPr>
          <w:rFonts w:ascii="Times New Roman" w:eastAsia="Times New Roman" w:hAnsi="Times New Roman" w:cs="Times New Roman"/>
          <w:sz w:val="24"/>
          <w:szCs w:val="24"/>
          <w:vertAlign w:val="superscript"/>
          <w:lang w:eastAsia="de-DE"/>
        </w:rPr>
        <w:t>3</w:t>
      </w:r>
      <w:r w:rsidRPr="00165BEA">
        <w:rPr>
          <w:rFonts w:ascii="Times New Roman" w:eastAsia="Times New Roman" w:hAnsi="Times New Roman" w:cs="Times New Roman"/>
          <w:sz w:val="24"/>
          <w:szCs w:val="24"/>
          <w:lang w:eastAsia="de-DE"/>
        </w:rPr>
        <w:t xml:space="preserve">Die Sätze 1 und 2 gelten entsprechend für Verluste aus Termingeschäften, durch die der Steuerpflichtige einen Differenzausgleich oder einen durch den Wert einer veränderlichen Bezugsgröße bestimmten Geldbetrag oder Vorteil erlangt. </w:t>
      </w:r>
      <w:r w:rsidRPr="00165BEA">
        <w:rPr>
          <w:rFonts w:ascii="Times New Roman" w:eastAsia="Times New Roman" w:hAnsi="Times New Roman" w:cs="Times New Roman"/>
          <w:sz w:val="24"/>
          <w:szCs w:val="24"/>
          <w:vertAlign w:val="superscript"/>
          <w:lang w:eastAsia="de-DE"/>
        </w:rPr>
        <w:t>4</w:t>
      </w:r>
      <w:r w:rsidRPr="00165BEA">
        <w:rPr>
          <w:rFonts w:ascii="Times New Roman" w:eastAsia="Times New Roman" w:hAnsi="Times New Roman" w:cs="Times New Roman"/>
          <w:sz w:val="24"/>
          <w:szCs w:val="24"/>
          <w:lang w:eastAsia="de-DE"/>
        </w:rPr>
        <w:t xml:space="preserve">Satz 3 gilt nicht für die Geschäfte, die zum gewöhnlichen Geschäftsbetrieb bei Kreditinstituten, Finanzdienstleistungsinstituten und Finanzunternehmen im Sinne des Gesetzes über das Kreditwesen gehören oder die der Absicherung von Geschäften des gewöhnlichen Geschäftsbetriebs dienen. </w:t>
      </w:r>
      <w:r w:rsidRPr="00165BEA">
        <w:rPr>
          <w:rFonts w:ascii="Times New Roman" w:eastAsia="Times New Roman" w:hAnsi="Times New Roman" w:cs="Times New Roman"/>
          <w:sz w:val="24"/>
          <w:szCs w:val="24"/>
          <w:vertAlign w:val="superscript"/>
          <w:lang w:eastAsia="de-DE"/>
        </w:rPr>
        <w:t>5</w:t>
      </w:r>
      <w:r w:rsidRPr="00165BEA">
        <w:rPr>
          <w:rFonts w:ascii="Times New Roman" w:eastAsia="Times New Roman" w:hAnsi="Times New Roman" w:cs="Times New Roman"/>
          <w:sz w:val="24"/>
          <w:szCs w:val="24"/>
          <w:lang w:eastAsia="de-DE"/>
        </w:rPr>
        <w:t xml:space="preserve">Satz 4 gilt nicht, wenn es sich um Geschäfte handelt, die der Absicherung von Aktiengeschäften dienen, bei denen der Veräußerungsgewinn nach § 3 Nummer 40 Satz 1 Buchstabe a und b in Verbindung mit § 3c Absatz 2 teilweise steuerfrei ist, oder die nach § 8b Absatz 2 des Körperschaftsteuergesetzes bei der Ermittlung des Einkommens außer Ansatz bleiben. </w:t>
      </w:r>
      <w:r w:rsidRPr="00165BEA">
        <w:rPr>
          <w:rFonts w:ascii="Times New Roman" w:eastAsia="Times New Roman" w:hAnsi="Times New Roman" w:cs="Times New Roman"/>
          <w:sz w:val="24"/>
          <w:szCs w:val="24"/>
          <w:vertAlign w:val="superscript"/>
          <w:lang w:eastAsia="de-DE"/>
        </w:rPr>
        <w:t>6</w:t>
      </w:r>
      <w:r w:rsidRPr="00165BEA">
        <w:rPr>
          <w:rFonts w:ascii="Times New Roman" w:eastAsia="Times New Roman" w:hAnsi="Times New Roman" w:cs="Times New Roman"/>
          <w:sz w:val="24"/>
          <w:szCs w:val="24"/>
          <w:lang w:eastAsia="de-DE"/>
        </w:rPr>
        <w:t xml:space="preserve">Verluste aus stillen Gesellschaften, Unterbeteiligungen oder sonstigen Innengesellschaften an Kapitalgesellschaften, bei denen der Gesellschafter oder Beteiligte als Mitunternehmer anzusehen ist, dürfen weder mit Einkünften aus Gewerbebetrieb noch aus anderen Einkunftsarten ausgeglichen werden; sie dürfen auch nicht nach § 10d abgezogen werden. </w:t>
      </w:r>
      <w:r w:rsidRPr="00165BEA">
        <w:rPr>
          <w:rFonts w:ascii="Times New Roman" w:eastAsia="Times New Roman" w:hAnsi="Times New Roman" w:cs="Times New Roman"/>
          <w:sz w:val="24"/>
          <w:szCs w:val="24"/>
          <w:vertAlign w:val="superscript"/>
          <w:lang w:eastAsia="de-DE"/>
        </w:rPr>
        <w:t>7</w:t>
      </w:r>
      <w:r w:rsidRPr="00165BEA">
        <w:rPr>
          <w:rFonts w:ascii="Times New Roman" w:eastAsia="Times New Roman" w:hAnsi="Times New Roman" w:cs="Times New Roman"/>
          <w:sz w:val="24"/>
          <w:szCs w:val="24"/>
          <w:lang w:eastAsia="de-DE"/>
        </w:rPr>
        <w:t xml:space="preserve">Die Verluste mindern jedoch nach Maßgabe des § 10d die Gewinne, die der Gesellschafter oder Beteiligte in dem unmittelbar vorangegangenen Wirtschaftsjahr oder in den folgenden Wirtschaftsjahren aus derselben stillen Gesellschaft, Unterbeteiligung oder sonstigen Innengesellschaft bezieht; § 10d Absatz 4 gilt entsprechend. </w:t>
      </w:r>
      <w:r w:rsidRPr="00165BEA">
        <w:rPr>
          <w:rFonts w:ascii="Times New Roman" w:eastAsia="Times New Roman" w:hAnsi="Times New Roman" w:cs="Times New Roman"/>
          <w:sz w:val="24"/>
          <w:szCs w:val="24"/>
          <w:vertAlign w:val="superscript"/>
          <w:lang w:eastAsia="de-DE"/>
        </w:rPr>
        <w:t>8</w:t>
      </w:r>
      <w:r w:rsidRPr="00165BEA">
        <w:rPr>
          <w:rFonts w:ascii="Times New Roman" w:eastAsia="Times New Roman" w:hAnsi="Times New Roman" w:cs="Times New Roman"/>
          <w:sz w:val="24"/>
          <w:szCs w:val="24"/>
          <w:lang w:eastAsia="de-DE"/>
        </w:rPr>
        <w:t>Die Sätze 6 und 7 gelten nicht, soweit der Verlust auf eine natürliche Person als unmittelbar oder mittelbar beteiligter Mitunternehmer entfällt.</w:t>
      </w:r>
    </w:p>
    <w:p w:rsidR="00165BEA" w:rsidRPr="00165BEA" w:rsidRDefault="00165BEA" w:rsidP="00165BEA">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165BEA">
        <w:rPr>
          <w:rFonts w:ascii="Times New Roman" w:eastAsia="Times New Roman" w:hAnsi="Times New Roman" w:cs="Times New Roman"/>
          <w:b/>
          <w:bCs/>
          <w:sz w:val="24"/>
          <w:szCs w:val="24"/>
          <w:lang w:eastAsia="de-DE"/>
        </w:rPr>
        <w:t>Fußnote</w:t>
      </w:r>
    </w:p>
    <w:p w:rsidR="00165BEA" w:rsidRPr="00165BEA" w:rsidRDefault="00165BEA" w:rsidP="00165BEA">
      <w:pPr>
        <w:spacing w:after="0" w:line="240" w:lineRule="auto"/>
        <w:rPr>
          <w:rFonts w:ascii="Times New Roman" w:eastAsia="Times New Roman" w:hAnsi="Times New Roman" w:cs="Times New Roman"/>
          <w:sz w:val="24"/>
          <w:szCs w:val="24"/>
          <w:lang w:eastAsia="de-DE"/>
        </w:rPr>
      </w:pPr>
      <w:r w:rsidRPr="00165BEA">
        <w:rPr>
          <w:rFonts w:ascii="Times New Roman" w:eastAsia="Times New Roman" w:hAnsi="Times New Roman" w:cs="Times New Roman"/>
          <w:sz w:val="24"/>
          <w:szCs w:val="24"/>
          <w:lang w:eastAsia="de-DE"/>
        </w:rPr>
        <w:t>(+++ § 15: Zur Anwendung vgl. § 52 Abs. 30b F. 2011-12-07, 32a, 32b +++)</w:t>
      </w:r>
    </w:p>
    <w:p w:rsidR="00F66B7B" w:rsidRDefault="00F66B7B"/>
    <w:p w:rsidR="007C36E0" w:rsidRDefault="007C36E0">
      <w:r>
        <w:t>__</w:t>
      </w:r>
    </w:p>
    <w:p w:rsidR="007C36E0" w:rsidRDefault="007C36E0"/>
    <w:p w:rsidR="007C36E0" w:rsidRDefault="007C36E0">
      <w:r>
        <w:lastRenderedPageBreak/>
        <w:t>_________________________________________________</w:t>
      </w:r>
    </w:p>
    <w:p w:rsidR="007C36E0" w:rsidRDefault="007C36E0">
      <w:hyperlink r:id="rId4" w:history="1">
        <w:r w:rsidRPr="00A82258">
          <w:rPr>
            <w:rStyle w:val="Hyperlink"/>
          </w:rPr>
          <w:t>https://dejure.org/gesetze/GewStG/2.html</w:t>
        </w:r>
      </w:hyperlink>
    </w:p>
    <w:p w:rsidR="007C36E0" w:rsidRDefault="007C36E0" w:rsidP="007C36E0">
      <w:r>
        <w:t>§ 2  Abs. 2 GewStG der Gewerbesteuer.</w:t>
      </w:r>
    </w:p>
    <w:p w:rsidR="00D5318C" w:rsidRDefault="00D5318C" w:rsidP="00D5318C">
      <w:pPr>
        <w:pStyle w:val="berschrift2"/>
      </w:pPr>
      <w:hyperlink r:id="rId5" w:history="1">
        <w:r>
          <w:rPr>
            <w:rStyle w:val="Hyperlink"/>
          </w:rPr>
          <w:t>Gewerbesteuergesetz</w:t>
        </w:r>
      </w:hyperlink>
    </w:p>
    <w:tbl>
      <w:tblPr>
        <w:tblW w:w="0" w:type="auto"/>
        <w:jc w:val="center"/>
        <w:tblCellSpacing w:w="15" w:type="dxa"/>
        <w:tblCellMar>
          <w:top w:w="15" w:type="dxa"/>
          <w:left w:w="15" w:type="dxa"/>
          <w:bottom w:w="15" w:type="dxa"/>
          <w:right w:w="15" w:type="dxa"/>
        </w:tblCellMar>
        <w:tblLook w:val="04A0"/>
      </w:tblPr>
      <w:tblGrid>
        <w:gridCol w:w="225"/>
        <w:gridCol w:w="3113"/>
        <w:gridCol w:w="225"/>
      </w:tblGrid>
      <w:tr w:rsidR="00D5318C" w:rsidTr="00D5318C">
        <w:trPr>
          <w:tblCellSpacing w:w="15" w:type="dxa"/>
          <w:jc w:val="center"/>
        </w:trPr>
        <w:tc>
          <w:tcPr>
            <w:tcW w:w="0" w:type="auto"/>
            <w:vAlign w:val="center"/>
            <w:hideMark/>
          </w:tcPr>
          <w:p w:rsidR="00D5318C" w:rsidRDefault="00D5318C">
            <w:pPr>
              <w:rPr>
                <w:sz w:val="24"/>
                <w:szCs w:val="24"/>
              </w:rPr>
            </w:pPr>
            <w:r>
              <w:t>   </w:t>
            </w:r>
          </w:p>
        </w:tc>
        <w:tc>
          <w:tcPr>
            <w:tcW w:w="0" w:type="auto"/>
            <w:vAlign w:val="center"/>
            <w:hideMark/>
          </w:tcPr>
          <w:p w:rsidR="00D5318C" w:rsidRDefault="00D5318C">
            <w:pPr>
              <w:rPr>
                <w:sz w:val="24"/>
                <w:szCs w:val="24"/>
              </w:rPr>
            </w:pPr>
            <w:r>
              <w:t xml:space="preserve">Abschnitt I - Allgemeines (§§ </w:t>
            </w:r>
            <w:hyperlink r:id="rId6" w:history="1">
              <w:r>
                <w:rPr>
                  <w:rStyle w:val="Hyperlink"/>
                </w:rPr>
                <w:t>1</w:t>
              </w:r>
            </w:hyperlink>
            <w:r>
              <w:t xml:space="preserve"> - </w:t>
            </w:r>
            <w:hyperlink r:id="rId7" w:history="1">
              <w:r>
                <w:rPr>
                  <w:rStyle w:val="Hyperlink"/>
                </w:rPr>
                <w:t>6</w:t>
              </w:r>
            </w:hyperlink>
            <w:r>
              <w:t>)</w:t>
            </w:r>
          </w:p>
        </w:tc>
        <w:tc>
          <w:tcPr>
            <w:tcW w:w="0" w:type="auto"/>
            <w:vAlign w:val="center"/>
            <w:hideMark/>
          </w:tcPr>
          <w:p w:rsidR="00D5318C" w:rsidRDefault="00D5318C">
            <w:pPr>
              <w:rPr>
                <w:sz w:val="24"/>
                <w:szCs w:val="24"/>
              </w:rPr>
            </w:pPr>
            <w:r>
              <w:t>   </w:t>
            </w:r>
          </w:p>
        </w:tc>
      </w:tr>
    </w:tbl>
    <w:p w:rsidR="00D5318C" w:rsidRDefault="00D5318C" w:rsidP="00D5318C">
      <w:hyperlink r:id="rId8" w:history="1">
        <w:r>
          <w:rPr>
            <w:rStyle w:val="Hyperlink"/>
          </w:rPr>
          <w:t>Gliederung</w:t>
        </w:r>
      </w:hyperlink>
      <w:r>
        <w:t xml:space="preserve"> </w:t>
      </w:r>
    </w:p>
    <w:p w:rsidR="00D5318C" w:rsidRDefault="00D5318C" w:rsidP="00D5318C">
      <w:pPr>
        <w:pStyle w:val="berschrift3"/>
      </w:pPr>
      <w:r>
        <w:t>§ 2</w:t>
      </w:r>
      <w:r>
        <w:br/>
        <w:t>Steuergegenstand</w:t>
      </w:r>
    </w:p>
    <w:p w:rsidR="00D5318C" w:rsidRDefault="00D5318C" w:rsidP="00D5318C">
      <w:pPr>
        <w:pStyle w:val="StandardWeb"/>
      </w:pPr>
      <w:r>
        <w:t>(1) Der Gewerbesteuer unterliegt jeder stehende Gewerbebetrieb, soweit er im Inland betrieben wird. Unter Gewerbebetrieb ist ein gewerbliches Unternehmen im Sinne des Einkommensteuergesetzes zu verstehen. Im Inland betrieben wird ein Gewerbebetrieb, soweit für ihn im Inland oder auf einem in einem inländischen Schiffsregister eingetragenen Kauffahrteischiff eine Betriebsstätte unterhalten wird.</w:t>
      </w:r>
    </w:p>
    <w:p w:rsidR="00D5318C" w:rsidRDefault="00D5318C" w:rsidP="00D5318C">
      <w:pPr>
        <w:pStyle w:val="StandardWeb"/>
      </w:pPr>
      <w:r w:rsidRPr="00D5318C">
        <w:rPr>
          <w:highlight w:val="yellow"/>
        </w:rPr>
        <w:t xml:space="preserve">(2) Als Gewerbebetrieb gilt stets und in vollem Umfang die Tätigkeit der Kapitalgesellschaften (insbesondere Europäische Gesellschaften, Aktiengesellschaften, Kommanditgesellschaften auf Aktien, Gesellschaften mit beschränkter Haftung), Genossenschaften einschließlich Europäischer Genossenschaften sowie der Versicherungs- und Pensionsfondsvereine auf Gegenseitigkeit. Ist eine Kapitalgesellschaft Organgesellschaft im Sinne der § </w:t>
      </w:r>
      <w:hyperlink r:id="rId9" w:history="1">
        <w:r w:rsidRPr="00D5318C">
          <w:rPr>
            <w:rStyle w:val="Hyperlink"/>
            <w:highlight w:val="yellow"/>
          </w:rPr>
          <w:t>14</w:t>
        </w:r>
      </w:hyperlink>
      <w:r w:rsidRPr="00D5318C">
        <w:rPr>
          <w:highlight w:val="yellow"/>
        </w:rPr>
        <w:t xml:space="preserve"> oder § </w:t>
      </w:r>
      <w:hyperlink r:id="rId10" w:history="1">
        <w:r w:rsidRPr="00D5318C">
          <w:rPr>
            <w:rStyle w:val="Hyperlink"/>
            <w:highlight w:val="yellow"/>
          </w:rPr>
          <w:t>17</w:t>
        </w:r>
      </w:hyperlink>
      <w:r w:rsidRPr="00D5318C">
        <w:rPr>
          <w:highlight w:val="yellow"/>
        </w:rPr>
        <w:t xml:space="preserve"> des Körperschaftsteuergesetzes, so gilt sie als Betriebsstätte des Organträgers.</w:t>
      </w:r>
    </w:p>
    <w:p w:rsidR="00D5318C" w:rsidRDefault="00D5318C" w:rsidP="00D5318C">
      <w:pPr>
        <w:pStyle w:val="StandardWeb"/>
      </w:pPr>
      <w:r>
        <w:t>(3) Als Gewerbebetrieb gilt auch die Tätigkeit der sonstigen juristischen Personen des privaten Rechts und der nichtrechtsfähigen Vereine, soweit sie einen wirtschaftlichen Geschäftsbetrieb (ausgenommen Land- und Forstwirtschaft) unterhalten.</w:t>
      </w:r>
    </w:p>
    <w:p w:rsidR="00D5318C" w:rsidRDefault="00D5318C" w:rsidP="00D5318C">
      <w:pPr>
        <w:pStyle w:val="StandardWeb"/>
      </w:pPr>
      <w:r>
        <w:t>(4) Vorübergehende Unterbrechungen im Betrieb eines Gewerbes, die durch die Art des Betriebs veranlasst sind, heben die Steuerpflicht für die Zeit bis zur Wiederaufnahme des Betriebs nicht auf.</w:t>
      </w:r>
    </w:p>
    <w:p w:rsidR="00D5318C" w:rsidRDefault="00D5318C" w:rsidP="00D5318C">
      <w:pPr>
        <w:pStyle w:val="StandardWeb"/>
      </w:pPr>
      <w:r>
        <w:t>(5) Geht ein Gewerbebetrieb im Ganzen auf einen anderen Unternehmer über, so gilt der Gewerbebetrieb als durch den bisherigen Unternehmer eingestellt. Der Gewerbebetrieb gilt als durch den anderen Unternehmer neu gegründet, wenn er nicht mit einem bereits bestehenden Gewerbebetrieb vereinigt wird.</w:t>
      </w:r>
    </w:p>
    <w:p w:rsidR="00D5318C" w:rsidRDefault="00D5318C" w:rsidP="00D5318C">
      <w:pPr>
        <w:pStyle w:val="StandardWeb"/>
      </w:pPr>
      <w:r>
        <w:t>(6) Inländische Betriebsstätten von Unternehmen, deren Geschäftsleitung sich in einem ausländischen Staat befindet, mit dem kein Abkommen zur Vermeidung der Doppelbesteuerung besteht, unterliegen nicht der Gewerbesteuer, wenn und soweit</w:t>
      </w:r>
    </w:p>
    <w:tbl>
      <w:tblPr>
        <w:tblW w:w="0" w:type="auto"/>
        <w:tblCellSpacing w:w="15" w:type="dxa"/>
        <w:tblCellMar>
          <w:top w:w="15" w:type="dxa"/>
          <w:left w:w="15" w:type="dxa"/>
          <w:bottom w:w="15" w:type="dxa"/>
          <w:right w:w="15" w:type="dxa"/>
        </w:tblCellMar>
        <w:tblLook w:val="04A0"/>
      </w:tblPr>
      <w:tblGrid>
        <w:gridCol w:w="225"/>
        <w:gridCol w:w="228"/>
        <w:gridCol w:w="8709"/>
      </w:tblGrid>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r>
              <w:t xml:space="preserve">1. </w:t>
            </w:r>
          </w:p>
        </w:tc>
        <w:tc>
          <w:tcPr>
            <w:tcW w:w="0" w:type="auto"/>
            <w:vAlign w:val="center"/>
            <w:hideMark/>
          </w:tcPr>
          <w:p w:rsidR="00D5318C" w:rsidRDefault="00D5318C">
            <w:pPr>
              <w:rPr>
                <w:sz w:val="24"/>
                <w:szCs w:val="24"/>
              </w:rPr>
            </w:pPr>
            <w:r>
              <w:t>die Einkünfte aus diesen Betriebsstätten im Rahmen der beschränkten Einkommensteuerpflicht steuerfrei sind und</w:t>
            </w:r>
          </w:p>
        </w:tc>
      </w:tr>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r>
              <w:t xml:space="preserve">2. </w:t>
            </w:r>
          </w:p>
        </w:tc>
        <w:tc>
          <w:tcPr>
            <w:tcW w:w="0" w:type="auto"/>
            <w:vAlign w:val="center"/>
            <w:hideMark/>
          </w:tcPr>
          <w:p w:rsidR="00D5318C" w:rsidRDefault="00D5318C">
            <w:pPr>
              <w:rPr>
                <w:sz w:val="24"/>
                <w:szCs w:val="24"/>
              </w:rPr>
            </w:pPr>
            <w:r>
              <w:t xml:space="preserve">der ausländische Staat Unternehmen, deren Geschäftsleitung sich im Inland befindet, eine entsprechende Befreiung von den der Gewerbesteuer ähnlichen oder ihr entsprechenden </w:t>
            </w:r>
            <w:r>
              <w:lastRenderedPageBreak/>
              <w:t>Steuern gewährt, oder in dem ausländischen Staat keine der Gewerbesteuer ähnlichen oder ihr entsprechenden Steuern bestehen.</w:t>
            </w:r>
          </w:p>
        </w:tc>
      </w:tr>
    </w:tbl>
    <w:p w:rsidR="00D5318C" w:rsidRDefault="00D5318C" w:rsidP="00D5318C">
      <w:pPr>
        <w:pStyle w:val="StandardWeb"/>
      </w:pPr>
      <w:r>
        <w:lastRenderedPageBreak/>
        <w:t>(7) Zum Inland im Sinne dieses Gesetzes gehört auch der der Bundesrepublik Deutschland zustehende Anteil</w:t>
      </w:r>
    </w:p>
    <w:tbl>
      <w:tblPr>
        <w:tblW w:w="0" w:type="auto"/>
        <w:tblCellSpacing w:w="15" w:type="dxa"/>
        <w:tblCellMar>
          <w:top w:w="15" w:type="dxa"/>
          <w:left w:w="15" w:type="dxa"/>
          <w:bottom w:w="15" w:type="dxa"/>
          <w:right w:w="15" w:type="dxa"/>
        </w:tblCellMar>
        <w:tblLook w:val="04A0"/>
      </w:tblPr>
      <w:tblGrid>
        <w:gridCol w:w="225"/>
        <w:gridCol w:w="228"/>
        <w:gridCol w:w="243"/>
        <w:gridCol w:w="8466"/>
      </w:tblGrid>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r>
              <w:t xml:space="preserve">1. </w:t>
            </w:r>
          </w:p>
        </w:tc>
        <w:tc>
          <w:tcPr>
            <w:tcW w:w="0" w:type="auto"/>
            <w:gridSpan w:val="2"/>
            <w:vAlign w:val="center"/>
            <w:hideMark/>
          </w:tcPr>
          <w:p w:rsidR="00D5318C" w:rsidRDefault="00D5318C">
            <w:pPr>
              <w:rPr>
                <w:sz w:val="24"/>
                <w:szCs w:val="24"/>
              </w:rPr>
            </w:pPr>
            <w:r>
              <w:t>an der ausschließlichen Wirtschaftszone, soweit dort</w:t>
            </w:r>
          </w:p>
        </w:tc>
      </w:tr>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p>
        </w:tc>
        <w:tc>
          <w:tcPr>
            <w:tcW w:w="50" w:type="pct"/>
            <w:vAlign w:val="center"/>
            <w:hideMark/>
          </w:tcPr>
          <w:p w:rsidR="00D5318C" w:rsidRDefault="00D5318C">
            <w:pPr>
              <w:rPr>
                <w:sz w:val="24"/>
                <w:szCs w:val="24"/>
              </w:rPr>
            </w:pPr>
            <w:r>
              <w:t xml:space="preserve">a) </w:t>
            </w:r>
          </w:p>
        </w:tc>
        <w:tc>
          <w:tcPr>
            <w:tcW w:w="0" w:type="auto"/>
            <w:vAlign w:val="center"/>
            <w:hideMark/>
          </w:tcPr>
          <w:p w:rsidR="00D5318C" w:rsidRDefault="00D5318C">
            <w:pPr>
              <w:rPr>
                <w:sz w:val="24"/>
                <w:szCs w:val="24"/>
              </w:rPr>
            </w:pPr>
            <w:r>
              <w:t>die lebenden und nicht lebenden natürlichen Ressourcen der Gewässer über dem Meeresboden, des Meeresbodens und seines Untergrunds erforscht, ausgebeutet, erhalten oder bewirtschaftet werden,</w:t>
            </w:r>
          </w:p>
        </w:tc>
      </w:tr>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p>
        </w:tc>
        <w:tc>
          <w:tcPr>
            <w:tcW w:w="50" w:type="pct"/>
            <w:vAlign w:val="center"/>
            <w:hideMark/>
          </w:tcPr>
          <w:p w:rsidR="00D5318C" w:rsidRDefault="00D5318C">
            <w:pPr>
              <w:rPr>
                <w:sz w:val="24"/>
                <w:szCs w:val="24"/>
              </w:rPr>
            </w:pPr>
            <w:r>
              <w:t xml:space="preserve">b) </w:t>
            </w:r>
          </w:p>
        </w:tc>
        <w:tc>
          <w:tcPr>
            <w:tcW w:w="0" w:type="auto"/>
            <w:vAlign w:val="center"/>
            <w:hideMark/>
          </w:tcPr>
          <w:p w:rsidR="00D5318C" w:rsidRDefault="00D5318C">
            <w:pPr>
              <w:rPr>
                <w:sz w:val="24"/>
                <w:szCs w:val="24"/>
              </w:rPr>
            </w:pPr>
            <w:r>
              <w:t>andere Tätigkeiten zur wirtschaftlichen Erforschung oder Ausbeutung der ausschließlichen Wirtschaftszone ausgeübt werden, wie beispielsweise die Energieerzeugung aus Wasser, Strömung und Wind oder</w:t>
            </w:r>
          </w:p>
        </w:tc>
      </w:tr>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p>
        </w:tc>
        <w:tc>
          <w:tcPr>
            <w:tcW w:w="50" w:type="pct"/>
            <w:vAlign w:val="center"/>
            <w:hideMark/>
          </w:tcPr>
          <w:p w:rsidR="00D5318C" w:rsidRDefault="00D5318C">
            <w:pPr>
              <w:rPr>
                <w:sz w:val="24"/>
                <w:szCs w:val="24"/>
              </w:rPr>
            </w:pPr>
            <w:r>
              <w:t xml:space="preserve">c) </w:t>
            </w:r>
          </w:p>
        </w:tc>
        <w:tc>
          <w:tcPr>
            <w:tcW w:w="0" w:type="auto"/>
            <w:vAlign w:val="center"/>
            <w:hideMark/>
          </w:tcPr>
          <w:p w:rsidR="00D5318C" w:rsidRDefault="00D5318C">
            <w:pPr>
              <w:rPr>
                <w:sz w:val="24"/>
                <w:szCs w:val="24"/>
              </w:rPr>
            </w:pPr>
            <w:r>
              <w:t>künstliche Inseln errichtet oder genutzt werden und Anlagen und Bauwerke für die in den Buchstaben a und b genannten Zwecke errichtet oder genutzt werden, und</w:t>
            </w:r>
          </w:p>
        </w:tc>
      </w:tr>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r>
              <w:t xml:space="preserve">2. </w:t>
            </w:r>
          </w:p>
        </w:tc>
        <w:tc>
          <w:tcPr>
            <w:tcW w:w="0" w:type="auto"/>
            <w:gridSpan w:val="2"/>
            <w:vAlign w:val="center"/>
            <w:hideMark/>
          </w:tcPr>
          <w:p w:rsidR="00D5318C" w:rsidRDefault="00D5318C">
            <w:pPr>
              <w:rPr>
                <w:sz w:val="24"/>
                <w:szCs w:val="24"/>
              </w:rPr>
            </w:pPr>
            <w:r>
              <w:t>am Festlandsockel, soweit dort</w:t>
            </w:r>
          </w:p>
        </w:tc>
      </w:tr>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p>
        </w:tc>
        <w:tc>
          <w:tcPr>
            <w:tcW w:w="50" w:type="pct"/>
            <w:vAlign w:val="center"/>
            <w:hideMark/>
          </w:tcPr>
          <w:p w:rsidR="00D5318C" w:rsidRDefault="00D5318C">
            <w:pPr>
              <w:rPr>
                <w:sz w:val="24"/>
                <w:szCs w:val="24"/>
              </w:rPr>
            </w:pPr>
            <w:r>
              <w:t xml:space="preserve">a) </w:t>
            </w:r>
          </w:p>
        </w:tc>
        <w:tc>
          <w:tcPr>
            <w:tcW w:w="0" w:type="auto"/>
            <w:vAlign w:val="center"/>
            <w:hideMark/>
          </w:tcPr>
          <w:p w:rsidR="00D5318C" w:rsidRDefault="00D5318C">
            <w:pPr>
              <w:rPr>
                <w:sz w:val="24"/>
                <w:szCs w:val="24"/>
              </w:rPr>
            </w:pPr>
            <w:r>
              <w:t>dessen natürliche Ressourcen erforscht oder ausgebeutet werden; natürliche Ressourcen in diesem Sinne sind die mineralischen und sonstigen nicht lebenden Ressourcen des Meeresbodens und seines Untergrunds sowie die zu den sesshaften Arten gehörenden Lebewesen, die im nutzbaren Stadium entweder unbeweglich auf oder unter dem Meeresboden verbleiben oder sich nur in ständigem körperlichen Kontakt mit dem Meeresboden oder seinem Untergrund fortbewegen können; oder</w:t>
            </w:r>
          </w:p>
        </w:tc>
      </w:tr>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p>
        </w:tc>
        <w:tc>
          <w:tcPr>
            <w:tcW w:w="50" w:type="pct"/>
            <w:vAlign w:val="center"/>
            <w:hideMark/>
          </w:tcPr>
          <w:p w:rsidR="00D5318C" w:rsidRDefault="00D5318C">
            <w:pPr>
              <w:rPr>
                <w:sz w:val="24"/>
                <w:szCs w:val="24"/>
              </w:rPr>
            </w:pPr>
            <w:r>
              <w:t xml:space="preserve">b) </w:t>
            </w:r>
          </w:p>
        </w:tc>
        <w:tc>
          <w:tcPr>
            <w:tcW w:w="0" w:type="auto"/>
            <w:vAlign w:val="center"/>
            <w:hideMark/>
          </w:tcPr>
          <w:p w:rsidR="00D5318C" w:rsidRDefault="00D5318C">
            <w:pPr>
              <w:rPr>
                <w:sz w:val="24"/>
                <w:szCs w:val="24"/>
              </w:rPr>
            </w:pPr>
            <w:r>
              <w:t>künstliche Inseln errichtet oder genutzt werden und Anlagen und Bauwerke für die in Buchstabe a genannten Zwecke errichtet oder genutzt werden, und</w:t>
            </w:r>
          </w:p>
        </w:tc>
      </w:tr>
      <w:tr w:rsidR="00D5318C" w:rsidTr="00D5318C">
        <w:trPr>
          <w:tblCellSpacing w:w="15" w:type="dxa"/>
        </w:trPr>
        <w:tc>
          <w:tcPr>
            <w:tcW w:w="180" w:type="dxa"/>
            <w:vAlign w:val="center"/>
            <w:hideMark/>
          </w:tcPr>
          <w:p w:rsidR="00D5318C" w:rsidRDefault="00D5318C">
            <w:pPr>
              <w:rPr>
                <w:sz w:val="24"/>
                <w:szCs w:val="24"/>
              </w:rPr>
            </w:pPr>
          </w:p>
        </w:tc>
        <w:tc>
          <w:tcPr>
            <w:tcW w:w="0" w:type="auto"/>
            <w:vAlign w:val="center"/>
            <w:hideMark/>
          </w:tcPr>
          <w:p w:rsidR="00D5318C" w:rsidRDefault="00D5318C">
            <w:pPr>
              <w:rPr>
                <w:sz w:val="24"/>
                <w:szCs w:val="24"/>
              </w:rPr>
            </w:pPr>
            <w:r>
              <w:t xml:space="preserve">3. </w:t>
            </w:r>
          </w:p>
        </w:tc>
        <w:tc>
          <w:tcPr>
            <w:tcW w:w="0" w:type="auto"/>
            <w:gridSpan w:val="2"/>
            <w:vAlign w:val="center"/>
            <w:hideMark/>
          </w:tcPr>
          <w:p w:rsidR="00D5318C" w:rsidRDefault="00D5318C">
            <w:pPr>
              <w:rPr>
                <w:sz w:val="24"/>
                <w:szCs w:val="24"/>
              </w:rPr>
            </w:pPr>
            <w:r>
              <w:t>der nicht zur Bundesrepublik Deutschland gehörende Teil eines grenzüberschreitenden Gewerbegebiets, das nach den Vorschriften eines Abkommens zur Vermeidung der Doppelbesteuerung als solches bestimmt ist.</w:t>
            </w:r>
          </w:p>
        </w:tc>
      </w:tr>
    </w:tbl>
    <w:p w:rsidR="00D5318C" w:rsidRDefault="00D5318C" w:rsidP="00D5318C">
      <w:r>
        <w:rPr>
          <w:b/>
          <w:bCs/>
        </w:rPr>
        <w:t>Hinweis der Redaktion:</w:t>
      </w:r>
    </w:p>
    <w:p w:rsidR="00D5318C" w:rsidRDefault="00D5318C" w:rsidP="00D5318C">
      <w:pPr>
        <w:pStyle w:val="StandardWeb"/>
      </w:pPr>
      <w:r>
        <w:t xml:space="preserve">Beachte Entscheidung des Bundesverfassungsgerichts vom 15.1.2008 - </w:t>
      </w:r>
      <w:hyperlink r:id="rId11" w:history="1">
        <w:r>
          <w:rPr>
            <w:rStyle w:val="Hyperlink"/>
          </w:rPr>
          <w:t xml:space="preserve">1 </w:t>
        </w:r>
        <w:proofErr w:type="spellStart"/>
        <w:r>
          <w:rPr>
            <w:rStyle w:val="Hyperlink"/>
          </w:rPr>
          <w:t>BvL</w:t>
        </w:r>
        <w:proofErr w:type="spellEnd"/>
        <w:r>
          <w:rPr>
            <w:rStyle w:val="Hyperlink"/>
          </w:rPr>
          <w:t xml:space="preserve"> 2/04</w:t>
        </w:r>
      </w:hyperlink>
      <w:r>
        <w:t xml:space="preserve"> - (</w:t>
      </w:r>
      <w:proofErr w:type="spellStart"/>
      <w:r>
        <w:t>BGBl</w:t>
      </w:r>
      <w:proofErr w:type="spellEnd"/>
      <w:r>
        <w:t>. 2008 I S. 1006) mit folgender Entscheidungsformel:</w:t>
      </w:r>
    </w:p>
    <w:p w:rsidR="00D5318C" w:rsidRDefault="00D5318C" w:rsidP="00D5318C">
      <w:pPr>
        <w:pStyle w:val="StandardWeb"/>
      </w:pPr>
      <w:r>
        <w:t xml:space="preserve">§ 2 Absatz 1 Satz 2 des Gewerbesteuergesetzes in der Fassung der Bekanntmachung vom 14. Mai 1984 (Bundesgesetzblatt I Seite 657), geändert durch Artikel 10 des Steuerbereinigungsgesetzes vom 19. Dezember 1985 (Bundesgesetzblatt I Seite 2436 &lt;2451&gt;), und § </w:t>
      </w:r>
      <w:hyperlink r:id="rId12" w:history="1">
        <w:r>
          <w:rPr>
            <w:rStyle w:val="Hyperlink"/>
          </w:rPr>
          <w:t>15</w:t>
        </w:r>
      </w:hyperlink>
      <w:r>
        <w:t xml:space="preserve"> Absatz 3 Nummer 1 des Einkommensteuergesetzes in der Fassung der Bekanntmachung vom 27. Februar 1987 (Bundesgesetzblatt I Seite 657 &lt;688&gt;) sind mit dem Grundgesetz vereinbar.</w:t>
      </w:r>
    </w:p>
    <w:p w:rsidR="00D5318C" w:rsidRDefault="00D5318C" w:rsidP="00D5318C">
      <w:pPr>
        <w:pStyle w:val="hinweistext"/>
      </w:pPr>
      <w:r>
        <w:lastRenderedPageBreak/>
        <w:t>Fassung aufgrund des Steueränderungsgesetzes 2015 vom 02.11.2015 (</w:t>
      </w:r>
      <w:proofErr w:type="spellStart"/>
      <w:r>
        <w:fldChar w:fldCharType="begin"/>
      </w:r>
      <w:r>
        <w:instrText xml:space="preserve"> HYPERLINK "https://dejure.org/dienste/internet?www.bgblportal.de/BGBL/bgbl1f/bgbl115s1834.pdf" </w:instrText>
      </w:r>
      <w:r>
        <w:fldChar w:fldCharType="separate"/>
      </w:r>
      <w:r>
        <w:rPr>
          <w:rStyle w:val="Hyperlink"/>
        </w:rPr>
        <w:t>BGBl</w:t>
      </w:r>
      <w:proofErr w:type="spellEnd"/>
      <w:r>
        <w:rPr>
          <w:rStyle w:val="Hyperlink"/>
        </w:rPr>
        <w:t>. I S. 1834</w:t>
      </w:r>
      <w:r>
        <w:fldChar w:fldCharType="end"/>
      </w:r>
      <w:r>
        <w:t xml:space="preserve">) </w:t>
      </w:r>
      <w:proofErr w:type="spellStart"/>
      <w:r>
        <w:t>m.W.v</w:t>
      </w:r>
      <w:proofErr w:type="spellEnd"/>
      <w:r>
        <w:t>. 01.01.2016.</w:t>
      </w:r>
    </w:p>
    <w:p w:rsidR="007C36E0" w:rsidRDefault="007C36E0" w:rsidP="007C36E0"/>
    <w:p w:rsidR="007C36E0" w:rsidRDefault="007C36E0"/>
    <w:sectPr w:rsidR="007C36E0" w:rsidSect="004D59D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6B7B"/>
    <w:rsid w:val="0012634A"/>
    <w:rsid w:val="00165BEA"/>
    <w:rsid w:val="00196583"/>
    <w:rsid w:val="001D20B3"/>
    <w:rsid w:val="00467246"/>
    <w:rsid w:val="004D59D2"/>
    <w:rsid w:val="005E2517"/>
    <w:rsid w:val="007C36E0"/>
    <w:rsid w:val="008E1953"/>
    <w:rsid w:val="00966ACF"/>
    <w:rsid w:val="00D5318C"/>
    <w:rsid w:val="00ED3A27"/>
    <w:rsid w:val="00ED79AD"/>
    <w:rsid w:val="00F66B7B"/>
    <w:rsid w:val="00F83A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9D2"/>
  </w:style>
  <w:style w:type="paragraph" w:styleId="berschrift1">
    <w:name w:val="heading 1"/>
    <w:basedOn w:val="Standard"/>
    <w:link w:val="berschrift1Zchn"/>
    <w:uiPriority w:val="9"/>
    <w:qFormat/>
    <w:rsid w:val="00165BE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D531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D5318C"/>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link w:val="berschrift4Zchn"/>
    <w:uiPriority w:val="9"/>
    <w:qFormat/>
    <w:rsid w:val="00165BEA"/>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5BEA"/>
    <w:rPr>
      <w:rFonts w:ascii="Times New Roman" w:eastAsia="Times New Roman" w:hAnsi="Times New Roman" w:cs="Times New Roman"/>
      <w:b/>
      <w:bCs/>
      <w:kern w:val="36"/>
      <w:sz w:val="48"/>
      <w:szCs w:val="48"/>
      <w:lang w:eastAsia="de-DE"/>
    </w:rPr>
  </w:style>
  <w:style w:type="character" w:customStyle="1" w:styleId="berschrift4Zchn">
    <w:name w:val="Überschrift 4 Zchn"/>
    <w:basedOn w:val="Absatz-Standardschriftart"/>
    <w:link w:val="berschrift4"/>
    <w:uiPriority w:val="9"/>
    <w:rsid w:val="00165BEA"/>
    <w:rPr>
      <w:rFonts w:ascii="Times New Roman" w:eastAsia="Times New Roman" w:hAnsi="Times New Roman" w:cs="Times New Roman"/>
      <w:b/>
      <w:bCs/>
      <w:sz w:val="24"/>
      <w:szCs w:val="24"/>
      <w:lang w:eastAsia="de-DE"/>
    </w:rPr>
  </w:style>
  <w:style w:type="character" w:customStyle="1" w:styleId="jnenbez">
    <w:name w:val="jnenbez"/>
    <w:basedOn w:val="Absatz-Standardschriftart"/>
    <w:rsid w:val="00165BEA"/>
  </w:style>
  <w:style w:type="character" w:customStyle="1" w:styleId="jnentitel">
    <w:name w:val="jnentitel"/>
    <w:basedOn w:val="Absatz-Standardschriftart"/>
    <w:rsid w:val="00165BEA"/>
  </w:style>
  <w:style w:type="character" w:styleId="Hyperlink">
    <w:name w:val="Hyperlink"/>
    <w:basedOn w:val="Absatz-Standardschriftart"/>
    <w:uiPriority w:val="99"/>
    <w:unhideWhenUsed/>
    <w:rsid w:val="00165BEA"/>
    <w:rPr>
      <w:color w:val="0000FF" w:themeColor="hyperlink"/>
      <w:u w:val="single"/>
    </w:rPr>
  </w:style>
  <w:style w:type="character" w:customStyle="1" w:styleId="berschrift2Zchn">
    <w:name w:val="Überschrift 2 Zchn"/>
    <w:basedOn w:val="Absatz-Standardschriftart"/>
    <w:link w:val="berschrift2"/>
    <w:uiPriority w:val="9"/>
    <w:semiHidden/>
    <w:rsid w:val="00D5318C"/>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D5318C"/>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D5318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inweistext">
    <w:name w:val="hinweistext"/>
    <w:basedOn w:val="Standard"/>
    <w:rsid w:val="00D5318C"/>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68889612">
      <w:bodyDiv w:val="1"/>
      <w:marLeft w:val="0"/>
      <w:marRight w:val="0"/>
      <w:marTop w:val="0"/>
      <w:marBottom w:val="0"/>
      <w:divBdr>
        <w:top w:val="none" w:sz="0" w:space="0" w:color="auto"/>
        <w:left w:val="none" w:sz="0" w:space="0" w:color="auto"/>
        <w:bottom w:val="none" w:sz="0" w:space="0" w:color="auto"/>
        <w:right w:val="none" w:sz="0" w:space="0" w:color="auto"/>
      </w:divBdr>
      <w:divsChild>
        <w:div w:id="1044133386">
          <w:marLeft w:val="0"/>
          <w:marRight w:val="0"/>
          <w:marTop w:val="0"/>
          <w:marBottom w:val="0"/>
          <w:divBdr>
            <w:top w:val="none" w:sz="0" w:space="0" w:color="auto"/>
            <w:left w:val="none" w:sz="0" w:space="0" w:color="auto"/>
            <w:bottom w:val="none" w:sz="0" w:space="0" w:color="auto"/>
            <w:right w:val="none" w:sz="0" w:space="0" w:color="auto"/>
          </w:divBdr>
        </w:div>
        <w:div w:id="1999504079">
          <w:marLeft w:val="0"/>
          <w:marRight w:val="0"/>
          <w:marTop w:val="0"/>
          <w:marBottom w:val="0"/>
          <w:divBdr>
            <w:top w:val="none" w:sz="0" w:space="0" w:color="auto"/>
            <w:left w:val="none" w:sz="0" w:space="0" w:color="auto"/>
            <w:bottom w:val="none" w:sz="0" w:space="0" w:color="auto"/>
            <w:right w:val="none" w:sz="0" w:space="0" w:color="auto"/>
          </w:divBdr>
          <w:divsChild>
            <w:div w:id="1434400465">
              <w:marLeft w:val="0"/>
              <w:marRight w:val="0"/>
              <w:marTop w:val="0"/>
              <w:marBottom w:val="0"/>
              <w:divBdr>
                <w:top w:val="none" w:sz="0" w:space="0" w:color="auto"/>
                <w:left w:val="none" w:sz="0" w:space="0" w:color="auto"/>
                <w:bottom w:val="none" w:sz="0" w:space="0" w:color="auto"/>
                <w:right w:val="none" w:sz="0" w:space="0" w:color="auto"/>
              </w:divBdr>
              <w:divsChild>
                <w:div w:id="1829006909">
                  <w:marLeft w:val="0"/>
                  <w:marRight w:val="0"/>
                  <w:marTop w:val="0"/>
                  <w:marBottom w:val="0"/>
                  <w:divBdr>
                    <w:top w:val="none" w:sz="0" w:space="0" w:color="auto"/>
                    <w:left w:val="none" w:sz="0" w:space="0" w:color="auto"/>
                    <w:bottom w:val="none" w:sz="0" w:space="0" w:color="auto"/>
                    <w:right w:val="none" w:sz="0" w:space="0" w:color="auto"/>
                  </w:divBdr>
                  <w:divsChild>
                    <w:div w:id="1398669694">
                      <w:marLeft w:val="0"/>
                      <w:marRight w:val="0"/>
                      <w:marTop w:val="0"/>
                      <w:marBottom w:val="0"/>
                      <w:divBdr>
                        <w:top w:val="none" w:sz="0" w:space="0" w:color="auto"/>
                        <w:left w:val="none" w:sz="0" w:space="0" w:color="auto"/>
                        <w:bottom w:val="none" w:sz="0" w:space="0" w:color="auto"/>
                        <w:right w:val="none" w:sz="0" w:space="0" w:color="auto"/>
                      </w:divBdr>
                      <w:divsChild>
                        <w:div w:id="1058557689">
                          <w:marLeft w:val="0"/>
                          <w:marRight w:val="0"/>
                          <w:marTop w:val="0"/>
                          <w:marBottom w:val="0"/>
                          <w:divBdr>
                            <w:top w:val="none" w:sz="0" w:space="0" w:color="auto"/>
                            <w:left w:val="none" w:sz="0" w:space="0" w:color="auto"/>
                            <w:bottom w:val="none" w:sz="0" w:space="0" w:color="auto"/>
                            <w:right w:val="none" w:sz="0" w:space="0" w:color="auto"/>
                          </w:divBdr>
                        </w:div>
                        <w:div w:id="1244410096">
                          <w:marLeft w:val="0"/>
                          <w:marRight w:val="0"/>
                          <w:marTop w:val="0"/>
                          <w:marBottom w:val="0"/>
                          <w:divBdr>
                            <w:top w:val="none" w:sz="0" w:space="0" w:color="auto"/>
                            <w:left w:val="none" w:sz="0" w:space="0" w:color="auto"/>
                            <w:bottom w:val="none" w:sz="0" w:space="0" w:color="auto"/>
                            <w:right w:val="none" w:sz="0" w:space="0" w:color="auto"/>
                          </w:divBdr>
                        </w:div>
                        <w:div w:id="262694211">
                          <w:marLeft w:val="0"/>
                          <w:marRight w:val="0"/>
                          <w:marTop w:val="0"/>
                          <w:marBottom w:val="0"/>
                          <w:divBdr>
                            <w:top w:val="none" w:sz="0" w:space="0" w:color="auto"/>
                            <w:left w:val="none" w:sz="0" w:space="0" w:color="auto"/>
                            <w:bottom w:val="none" w:sz="0" w:space="0" w:color="auto"/>
                            <w:right w:val="none" w:sz="0" w:space="0" w:color="auto"/>
                          </w:divBdr>
                        </w:div>
                      </w:divsChild>
                    </w:div>
                    <w:div w:id="1137189785">
                      <w:marLeft w:val="0"/>
                      <w:marRight w:val="0"/>
                      <w:marTop w:val="0"/>
                      <w:marBottom w:val="0"/>
                      <w:divBdr>
                        <w:top w:val="none" w:sz="0" w:space="0" w:color="auto"/>
                        <w:left w:val="none" w:sz="0" w:space="0" w:color="auto"/>
                        <w:bottom w:val="none" w:sz="0" w:space="0" w:color="auto"/>
                        <w:right w:val="none" w:sz="0" w:space="0" w:color="auto"/>
                      </w:divBdr>
                    </w:div>
                    <w:div w:id="646009283">
                      <w:marLeft w:val="0"/>
                      <w:marRight w:val="0"/>
                      <w:marTop w:val="0"/>
                      <w:marBottom w:val="0"/>
                      <w:divBdr>
                        <w:top w:val="none" w:sz="0" w:space="0" w:color="auto"/>
                        <w:left w:val="none" w:sz="0" w:space="0" w:color="auto"/>
                        <w:bottom w:val="none" w:sz="0" w:space="0" w:color="auto"/>
                        <w:right w:val="none" w:sz="0" w:space="0" w:color="auto"/>
                      </w:divBdr>
                    </w:div>
                    <w:div w:id="434906680">
                      <w:marLeft w:val="0"/>
                      <w:marRight w:val="0"/>
                      <w:marTop w:val="0"/>
                      <w:marBottom w:val="0"/>
                      <w:divBdr>
                        <w:top w:val="none" w:sz="0" w:space="0" w:color="auto"/>
                        <w:left w:val="none" w:sz="0" w:space="0" w:color="auto"/>
                        <w:bottom w:val="none" w:sz="0" w:space="0" w:color="auto"/>
                        <w:right w:val="none" w:sz="0" w:space="0" w:color="auto"/>
                      </w:divBdr>
                      <w:divsChild>
                        <w:div w:id="1199852550">
                          <w:marLeft w:val="0"/>
                          <w:marRight w:val="0"/>
                          <w:marTop w:val="0"/>
                          <w:marBottom w:val="0"/>
                          <w:divBdr>
                            <w:top w:val="none" w:sz="0" w:space="0" w:color="auto"/>
                            <w:left w:val="none" w:sz="0" w:space="0" w:color="auto"/>
                            <w:bottom w:val="none" w:sz="0" w:space="0" w:color="auto"/>
                            <w:right w:val="none" w:sz="0" w:space="0" w:color="auto"/>
                          </w:divBdr>
                        </w:div>
                        <w:div w:id="393355891">
                          <w:marLeft w:val="0"/>
                          <w:marRight w:val="0"/>
                          <w:marTop w:val="0"/>
                          <w:marBottom w:val="0"/>
                          <w:divBdr>
                            <w:top w:val="none" w:sz="0" w:space="0" w:color="auto"/>
                            <w:left w:val="none" w:sz="0" w:space="0" w:color="auto"/>
                            <w:bottom w:val="none" w:sz="0" w:space="0" w:color="auto"/>
                            <w:right w:val="none" w:sz="0" w:space="0" w:color="auto"/>
                          </w:divBdr>
                        </w:div>
                      </w:divsChild>
                    </w:div>
                    <w:div w:id="137896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881607">
          <w:marLeft w:val="0"/>
          <w:marRight w:val="0"/>
          <w:marTop w:val="0"/>
          <w:marBottom w:val="0"/>
          <w:divBdr>
            <w:top w:val="none" w:sz="0" w:space="0" w:color="auto"/>
            <w:left w:val="none" w:sz="0" w:space="0" w:color="auto"/>
            <w:bottom w:val="none" w:sz="0" w:space="0" w:color="auto"/>
            <w:right w:val="none" w:sz="0" w:space="0" w:color="auto"/>
          </w:divBdr>
          <w:divsChild>
            <w:div w:id="483400710">
              <w:marLeft w:val="0"/>
              <w:marRight w:val="0"/>
              <w:marTop w:val="0"/>
              <w:marBottom w:val="0"/>
              <w:divBdr>
                <w:top w:val="none" w:sz="0" w:space="0" w:color="auto"/>
                <w:left w:val="none" w:sz="0" w:space="0" w:color="auto"/>
                <w:bottom w:val="none" w:sz="0" w:space="0" w:color="auto"/>
                <w:right w:val="none" w:sz="0" w:space="0" w:color="auto"/>
              </w:divBdr>
              <w:divsChild>
                <w:div w:id="1976905935">
                  <w:marLeft w:val="0"/>
                  <w:marRight w:val="0"/>
                  <w:marTop w:val="0"/>
                  <w:marBottom w:val="0"/>
                  <w:divBdr>
                    <w:top w:val="none" w:sz="0" w:space="0" w:color="auto"/>
                    <w:left w:val="none" w:sz="0" w:space="0" w:color="auto"/>
                    <w:bottom w:val="none" w:sz="0" w:space="0" w:color="auto"/>
                    <w:right w:val="none" w:sz="0" w:space="0" w:color="auto"/>
                  </w:divBdr>
                  <w:divsChild>
                    <w:div w:id="308479119">
                      <w:marLeft w:val="0"/>
                      <w:marRight w:val="0"/>
                      <w:marTop w:val="0"/>
                      <w:marBottom w:val="0"/>
                      <w:divBdr>
                        <w:top w:val="none" w:sz="0" w:space="0" w:color="auto"/>
                        <w:left w:val="none" w:sz="0" w:space="0" w:color="auto"/>
                        <w:bottom w:val="none" w:sz="0" w:space="0" w:color="auto"/>
                        <w:right w:val="none" w:sz="0" w:space="0" w:color="auto"/>
                      </w:divBdr>
                      <w:divsChild>
                        <w:div w:id="108981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428206">
      <w:bodyDiv w:val="1"/>
      <w:marLeft w:val="0"/>
      <w:marRight w:val="0"/>
      <w:marTop w:val="0"/>
      <w:marBottom w:val="0"/>
      <w:divBdr>
        <w:top w:val="none" w:sz="0" w:space="0" w:color="auto"/>
        <w:left w:val="none" w:sz="0" w:space="0" w:color="auto"/>
        <w:bottom w:val="none" w:sz="0" w:space="0" w:color="auto"/>
        <w:right w:val="none" w:sz="0" w:space="0" w:color="auto"/>
      </w:divBdr>
      <w:divsChild>
        <w:div w:id="2098283702">
          <w:marLeft w:val="0"/>
          <w:marRight w:val="0"/>
          <w:marTop w:val="0"/>
          <w:marBottom w:val="0"/>
          <w:divBdr>
            <w:top w:val="none" w:sz="0" w:space="0" w:color="auto"/>
            <w:left w:val="none" w:sz="0" w:space="0" w:color="auto"/>
            <w:bottom w:val="none" w:sz="0" w:space="0" w:color="auto"/>
            <w:right w:val="none" w:sz="0" w:space="0" w:color="auto"/>
          </w:divBdr>
        </w:div>
        <w:div w:id="1786149801">
          <w:marLeft w:val="0"/>
          <w:marRight w:val="0"/>
          <w:marTop w:val="0"/>
          <w:marBottom w:val="0"/>
          <w:divBdr>
            <w:top w:val="none" w:sz="0" w:space="0" w:color="auto"/>
            <w:left w:val="none" w:sz="0" w:space="0" w:color="auto"/>
            <w:bottom w:val="none" w:sz="0" w:space="0" w:color="auto"/>
            <w:right w:val="none" w:sz="0" w:space="0" w:color="auto"/>
          </w:divBdr>
          <w:divsChild>
            <w:div w:id="166602774">
              <w:marLeft w:val="0"/>
              <w:marRight w:val="0"/>
              <w:marTop w:val="0"/>
              <w:marBottom w:val="0"/>
              <w:divBdr>
                <w:top w:val="none" w:sz="0" w:space="0" w:color="auto"/>
                <w:left w:val="none" w:sz="0" w:space="0" w:color="auto"/>
                <w:bottom w:val="none" w:sz="0" w:space="0" w:color="auto"/>
                <w:right w:val="none" w:sz="0" w:space="0" w:color="auto"/>
              </w:divBdr>
            </w:div>
            <w:div w:id="1779636382">
              <w:marLeft w:val="0"/>
              <w:marRight w:val="0"/>
              <w:marTop w:val="0"/>
              <w:marBottom w:val="0"/>
              <w:divBdr>
                <w:top w:val="none" w:sz="0" w:space="0" w:color="auto"/>
                <w:left w:val="none" w:sz="0" w:space="0" w:color="auto"/>
                <w:bottom w:val="none" w:sz="0" w:space="0" w:color="auto"/>
                <w:right w:val="none" w:sz="0" w:space="0" w:color="auto"/>
              </w:divBdr>
              <w:divsChild>
                <w:div w:id="1844129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242523388">
      <w:bodyDiv w:val="1"/>
      <w:marLeft w:val="0"/>
      <w:marRight w:val="0"/>
      <w:marTop w:val="0"/>
      <w:marBottom w:val="0"/>
      <w:divBdr>
        <w:top w:val="none" w:sz="0" w:space="0" w:color="auto"/>
        <w:left w:val="none" w:sz="0" w:space="0" w:color="auto"/>
        <w:bottom w:val="none" w:sz="0" w:space="0" w:color="auto"/>
        <w:right w:val="none" w:sz="0" w:space="0" w:color="auto"/>
      </w:divBdr>
    </w:div>
    <w:div w:id="180735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jure.org/gesetze/GewStG/2.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ejure.org/gesetze/GewStG/6.html" TargetMode="External"/><Relationship Id="rId12" Type="http://schemas.openxmlformats.org/officeDocument/2006/relationships/hyperlink" Target="https://dejure.org/gesetze/EStG/1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jure.org/gesetze/GewStG/1.html" TargetMode="External"/><Relationship Id="rId11" Type="http://schemas.openxmlformats.org/officeDocument/2006/relationships/hyperlink" Target="https://dejure.org/dienste/vernetzung/rechtsprechung?Text=1%20BvL%202/04" TargetMode="External"/><Relationship Id="rId5" Type="http://schemas.openxmlformats.org/officeDocument/2006/relationships/hyperlink" Target="https://dejure.org/gesetze/GewStG" TargetMode="External"/><Relationship Id="rId10" Type="http://schemas.openxmlformats.org/officeDocument/2006/relationships/hyperlink" Target="https://dejure.org/gesetze/KStG/17.html" TargetMode="External"/><Relationship Id="rId4" Type="http://schemas.openxmlformats.org/officeDocument/2006/relationships/hyperlink" Target="https://dejure.org/gesetze/GewStG/2.html" TargetMode="External"/><Relationship Id="rId9" Type="http://schemas.openxmlformats.org/officeDocument/2006/relationships/hyperlink" Target="https://dejure.org/gesetze/KStG/14.html"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1673</Words>
  <Characters>10543</Characters>
  <Application>Microsoft Office Word</Application>
  <DocSecurity>0</DocSecurity>
  <Lines>87</Lines>
  <Paragraphs>24</Paragraphs>
  <ScaleCrop>false</ScaleCrop>
  <Company/>
  <LinksUpToDate>false</LinksUpToDate>
  <CharactersWithSpaces>12192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Mue7</dc:creator>
  <cp:lastModifiedBy>Mue7</cp:lastModifiedBy>
  <cp:revision>4</cp:revision>
  <dcterms:created xsi:type="dcterms:W3CDTF">2016-01-14T11:33:00Z</dcterms:created>
  <dcterms:modified xsi:type="dcterms:W3CDTF">2016-01-14T11:38:00Z</dcterms:modified>
</cp:coreProperties>
</file>